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97" w:rsidRDefault="00D20D97" w:rsidP="00D20D97">
      <w:pPr>
        <w:pStyle w:val="Intestazione"/>
        <w:jc w:val="center"/>
      </w:pPr>
      <w:r>
        <w:rPr>
          <w:rFonts w:asciiTheme="majorHAnsi" w:eastAsiaTheme="majorEastAsia" w:hAnsiTheme="majorHAnsi" w:cstheme="majorBidi"/>
          <w:sz w:val="32"/>
          <w:szCs w:val="32"/>
        </w:rPr>
        <w:t>ENTI DI DIRITTO PRIVATO IN CONTROLLO PUBBLICO</w:t>
      </w:r>
      <w:r w:rsidR="00521540">
        <w:rPr>
          <w:rFonts w:asciiTheme="majorHAnsi" w:eastAsiaTheme="majorEastAsia" w:hAnsiTheme="majorHAnsi" w:cstheme="majorBidi"/>
          <w:sz w:val="32"/>
          <w:szCs w:val="32"/>
        </w:rPr>
        <w:t xml:space="preserve"> </w:t>
      </w:r>
      <w:r w:rsidRPr="00AE45ED">
        <w:rPr>
          <w:rStyle w:val="Rimandonotaapidipagina"/>
          <w:sz w:val="20"/>
        </w:rPr>
        <w:footnoteReference w:id="1"/>
      </w:r>
    </w:p>
    <w:p w:rsidR="003A3014" w:rsidRDefault="003A3014" w:rsidP="00C0653D">
      <w:pPr>
        <w:spacing w:line="360" w:lineRule="auto"/>
        <w:jc w:val="both"/>
        <w:rPr>
          <w:rFonts w:ascii="Garamond" w:hAnsi="Garamond" w:cs="Times New Roman"/>
          <w:sz w:val="24"/>
          <w:szCs w:val="24"/>
        </w:rPr>
      </w:pPr>
    </w:p>
    <w:p w:rsidR="00113CB0" w:rsidRPr="00113CB0" w:rsidRDefault="00C0653D" w:rsidP="00113CB0">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54713A">
        <w:rPr>
          <w:rFonts w:ascii="Titillium" w:hAnsi="Titillium" w:cs="Titillium Web"/>
          <w:sz w:val="20"/>
          <w:szCs w:val="20"/>
        </w:rPr>
        <w:t xml:space="preserve"> </w:t>
      </w:r>
      <w:r w:rsidR="0054713A" w:rsidRPr="00CF42DA">
        <w:rPr>
          <w:rFonts w:ascii="Titillium" w:hAnsi="Titillium" w:cs="Titillium Web"/>
          <w:sz w:val="20"/>
          <w:szCs w:val="20"/>
        </w:rPr>
        <w:t xml:space="preserve">in corso di conferimento </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___________________________________</w:t>
      </w:r>
      <w:r w:rsidR="00095A1A" w:rsidRPr="00691E8A">
        <w:rPr>
          <w:rFonts w:ascii="Titillium" w:hAnsi="Titillium" w:cs="Titillium Web"/>
          <w:sz w:val="20"/>
          <w:szCs w:val="20"/>
        </w:rPr>
        <w:t>______________</w:t>
      </w:r>
      <w:r w:rsidR="002A43B7">
        <w:rPr>
          <w:rFonts w:ascii="Titillium" w:hAnsi="Titillium" w:cs="Titillium Web"/>
          <w:sz w:val="20"/>
          <w:szCs w:val="20"/>
        </w:rPr>
        <w:t>_____</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rsidR="00A76C67" w:rsidRDefault="00C0653D" w:rsidP="00A76C67">
      <w:pPr>
        <w:spacing w:line="360" w:lineRule="auto"/>
        <w:jc w:val="center"/>
        <w:rPr>
          <w:rFonts w:ascii="Titillium" w:hAnsi="Titillium" w:cs="Titillium Web"/>
          <w:sz w:val="20"/>
          <w:szCs w:val="20"/>
        </w:rPr>
      </w:pPr>
      <w:r w:rsidRPr="006750D3">
        <w:rPr>
          <w:rFonts w:ascii="Titillium" w:hAnsi="Titillium" w:cs="Titillium Web"/>
          <w:b/>
          <w:bCs/>
          <w:sz w:val="20"/>
          <w:szCs w:val="20"/>
        </w:rPr>
        <w:t>DICH</w:t>
      </w:r>
      <w:r w:rsidR="00095A1A" w:rsidRPr="006750D3">
        <w:rPr>
          <w:rFonts w:ascii="Titillium" w:hAnsi="Titillium" w:cs="Titillium Web"/>
          <w:b/>
          <w:bCs/>
          <w:sz w:val="20"/>
          <w:szCs w:val="20"/>
        </w:rPr>
        <w:t>IARA</w:t>
      </w:r>
      <w:r w:rsidR="006750D3" w:rsidRPr="00AE45ED">
        <w:rPr>
          <w:rStyle w:val="Rimandonotaapidipagina"/>
          <w:sz w:val="20"/>
        </w:rPr>
        <w:footnoteReference w:id="2"/>
      </w:r>
    </w:p>
    <w:p w:rsidR="00CE4F92" w:rsidRDefault="00095A1A" w:rsidP="00783A52">
      <w:pPr>
        <w:tabs>
          <w:tab w:val="left" w:pos="142"/>
        </w:tabs>
        <w:spacing w:line="360" w:lineRule="auto"/>
        <w:jc w:val="both"/>
        <w:rPr>
          <w:rFonts w:ascii="Titillium" w:hAnsi="Titillium" w:cs="Titillium Web"/>
          <w:sz w:val="20"/>
          <w:szCs w:val="20"/>
        </w:rPr>
      </w:pPr>
      <w:r w:rsidRPr="0054713A">
        <w:rPr>
          <w:rFonts w:ascii="Titillium" w:hAnsi="Titillium" w:cs="Titillium Web"/>
          <w:sz w:val="20"/>
          <w:szCs w:val="20"/>
        </w:rPr>
        <w:t>c</w:t>
      </w:r>
      <w:r w:rsidR="0015463B" w:rsidRPr="0054713A">
        <w:rPr>
          <w:rFonts w:ascii="Titillium" w:hAnsi="Titillium" w:cs="Titillium Web"/>
          <w:sz w:val="20"/>
          <w:szCs w:val="20"/>
        </w:rPr>
        <w:t xml:space="preserve">on riferimento alle situazioni di </w:t>
      </w:r>
      <w:r w:rsidR="0015463B" w:rsidRPr="0054713A">
        <w:rPr>
          <w:rFonts w:ascii="Titillium" w:hAnsi="Titillium" w:cs="Titillium Web"/>
          <w:b/>
          <w:sz w:val="20"/>
          <w:szCs w:val="20"/>
        </w:rPr>
        <w:t>INCONFERIBILITA’</w:t>
      </w:r>
      <w:r w:rsidR="006750D3">
        <w:rPr>
          <w:rFonts w:ascii="Titillium" w:hAnsi="Titillium" w:cs="Titillium Web"/>
          <w:b/>
          <w:sz w:val="20"/>
          <w:szCs w:val="20"/>
        </w:rPr>
        <w:t xml:space="preserve"> </w:t>
      </w:r>
      <w:r w:rsidR="002A43B7" w:rsidRPr="0054713A">
        <w:rPr>
          <w:rFonts w:ascii="Titillium" w:hAnsi="Titillium" w:cs="Titillium Web"/>
          <w:sz w:val="20"/>
          <w:szCs w:val="20"/>
        </w:rPr>
        <w:t>disciplinate dal d</w:t>
      </w:r>
      <w:r w:rsidR="0015463B" w:rsidRPr="0054713A">
        <w:rPr>
          <w:rFonts w:ascii="Titillium" w:hAnsi="Titillium" w:cs="Titillium Web"/>
          <w:sz w:val="20"/>
          <w:szCs w:val="20"/>
        </w:rPr>
        <w:t>.lgs. n. 39/2013</w:t>
      </w:r>
      <w:r w:rsidR="00F72E24">
        <w:rPr>
          <w:rFonts w:ascii="Titillium" w:hAnsi="Titillium" w:cs="Titillium Web"/>
          <w:sz w:val="20"/>
          <w:szCs w:val="20"/>
        </w:rPr>
        <w:t>:</w:t>
      </w:r>
    </w:p>
    <w:p w:rsidR="00991B5F" w:rsidRDefault="00F72E24" w:rsidP="00F72E24">
      <w:pPr>
        <w:pStyle w:val="Paragrafoelenco"/>
        <w:tabs>
          <w:tab w:val="left" w:pos="993"/>
        </w:tabs>
        <w:ind w:left="709"/>
        <w:contextualSpacing w:val="0"/>
        <w:jc w:val="both"/>
        <w:rPr>
          <w:rFonts w:ascii="Titillium" w:hAnsi="Titillium"/>
          <w:b/>
          <w:bCs/>
          <w:sz w:val="20"/>
        </w:rPr>
      </w:pPr>
      <w:r>
        <w:rPr>
          <w:rFonts w:ascii="Titillium" w:hAnsi="Titillium"/>
          <w:b/>
          <w:bCs/>
          <w:sz w:val="20"/>
        </w:rPr>
        <w:t>(</w:t>
      </w:r>
      <w:r w:rsidR="00D15D33" w:rsidRPr="00D15D33">
        <w:rPr>
          <w:rFonts w:ascii="Titillium" w:hAnsi="Titillium"/>
          <w:b/>
          <w:bCs/>
          <w:sz w:val="20"/>
        </w:rPr>
        <w:t>Inconferibilità in caso di condanna per reati contro la pubblica amministrazione</w:t>
      </w:r>
      <w:r>
        <w:rPr>
          <w:rFonts w:ascii="Titillium" w:hAnsi="Titillium"/>
          <w:b/>
          <w:bCs/>
          <w:sz w:val="20"/>
        </w:rPr>
        <w:t>)</w:t>
      </w:r>
    </w:p>
    <w:p w:rsidR="00B772BC" w:rsidRPr="00882A6A" w:rsidRDefault="00FB2FED" w:rsidP="00B772BC">
      <w:pPr>
        <w:pStyle w:val="Paragrafoelenco"/>
        <w:tabs>
          <w:tab w:val="left" w:pos="993"/>
        </w:tabs>
        <w:ind w:left="709"/>
        <w:contextualSpacing w:val="0"/>
        <w:jc w:val="both"/>
        <w:rPr>
          <w:rFonts w:ascii="Titillium" w:hAnsi="Titillium"/>
          <w:sz w:val="20"/>
        </w:rPr>
      </w:pPr>
      <w:r w:rsidRPr="00FB2FED">
        <w:rPr>
          <w:rFonts w:ascii="Titillium" w:hAnsi="Titillium"/>
          <w:noProof/>
          <w:sz w:val="18"/>
          <w:szCs w:val="18"/>
          <w:lang w:eastAsia="it-IT"/>
        </w:rPr>
        <w:pict>
          <v:rect id="Rettangolo 1575033770" o:spid="_x0000_s2050" style="position:absolute;left:0;text-align:left;margin-left:20.95pt;margin-top:6.55pt;width:7.25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" fillcolor="window" strokecolor="#385d8a" strokeweight="2pt"/>
        </w:pict>
      </w:r>
      <w:bookmarkStart w:id="0" w:name="_Hlk178258087"/>
      <w:r w:rsidR="006750D3">
        <w:rPr>
          <w:rFonts w:ascii="Titillium" w:hAnsi="Titillium"/>
          <w:sz w:val="20"/>
        </w:rPr>
        <w:t xml:space="preserve">di </w:t>
      </w:r>
      <w:r w:rsidR="00F72E24">
        <w:rPr>
          <w:rFonts w:ascii="Titillium" w:hAnsi="Titillium"/>
          <w:sz w:val="20"/>
        </w:rPr>
        <w:t xml:space="preserve">non trovarsi nella situazione di inconferibilità di cui </w:t>
      </w:r>
      <w:bookmarkEnd w:id="0"/>
      <w:r w:rsidR="00F72E24">
        <w:rPr>
          <w:rFonts w:ascii="Titillium" w:hAnsi="Titillium"/>
          <w:sz w:val="20"/>
        </w:rPr>
        <w:t>all’</w:t>
      </w:r>
      <w:r w:rsidR="00F72E24" w:rsidRPr="006A61AA">
        <w:rPr>
          <w:rFonts w:ascii="Titillium" w:hAnsi="Titillium"/>
          <w:sz w:val="20"/>
        </w:rPr>
        <w:t>art</w:t>
      </w:r>
      <w:r w:rsidR="00F72E24" w:rsidRPr="006A61AA">
        <w:rPr>
          <w:rFonts w:ascii="Titillium" w:hAnsi="Titillium"/>
          <w:noProof/>
          <w:sz w:val="20"/>
          <w:lang w:eastAsia="it-IT"/>
        </w:rPr>
        <w:t>. 3, comma 1</w:t>
      </w:r>
      <w:r w:rsidR="00F72E24">
        <w:rPr>
          <w:rFonts w:ascii="Titillium" w:hAnsi="Titillium"/>
          <w:noProof/>
          <w:sz w:val="20"/>
          <w:lang w:eastAsia="it-IT"/>
        </w:rPr>
        <w:t>,</w:t>
      </w:r>
      <w:r w:rsidR="00F72E24" w:rsidRPr="006A61AA">
        <w:rPr>
          <w:rFonts w:ascii="Titillium" w:hAnsi="Titillium"/>
          <w:noProof/>
          <w:sz w:val="20"/>
          <w:lang w:eastAsia="it-IT"/>
        </w:rPr>
        <w:t xml:space="preserve"> lett. </w:t>
      </w:r>
      <w:r w:rsidR="00F72E24">
        <w:rPr>
          <w:rFonts w:ascii="Titillium" w:hAnsi="Titillium"/>
          <w:noProof/>
          <w:sz w:val="20"/>
          <w:lang w:eastAsia="it-IT"/>
        </w:rPr>
        <w:t xml:space="preserve">a), </w:t>
      </w:r>
      <w:r w:rsidR="00F72E24" w:rsidRPr="006A61AA">
        <w:rPr>
          <w:rFonts w:ascii="Titillium" w:hAnsi="Titillium"/>
          <w:noProof/>
          <w:sz w:val="20"/>
          <w:lang w:eastAsia="it-IT"/>
        </w:rPr>
        <w:t>c) e d)</w:t>
      </w:r>
      <w:r w:rsidR="00F72E24" w:rsidRPr="00F72E24">
        <w:rPr>
          <w:rStyle w:val="Rimandonotaapidipagina"/>
          <w:rFonts w:ascii="Titillium" w:hAnsi="Titillium"/>
          <w:sz w:val="20"/>
        </w:rPr>
        <w:t xml:space="preserve"> </w:t>
      </w:r>
      <w:r w:rsidR="00F72E24" w:rsidRPr="006A61AA">
        <w:rPr>
          <w:rStyle w:val="Rimandonotaapidipagina"/>
          <w:rFonts w:ascii="Titillium" w:hAnsi="Titillium"/>
          <w:sz w:val="20"/>
        </w:rPr>
        <w:footnoteReference w:id="3"/>
      </w:r>
      <w:r w:rsidR="00F72E24">
        <w:rPr>
          <w:rFonts w:ascii="Titillium" w:hAnsi="Titillium"/>
          <w:noProof/>
          <w:sz w:val="20"/>
          <w:lang w:eastAsia="it-IT"/>
        </w:rPr>
        <w:t>,</w:t>
      </w:r>
      <w:r w:rsidR="00F72E24" w:rsidRPr="006A61AA">
        <w:rPr>
          <w:rFonts w:ascii="Titillium" w:hAnsi="Titillium"/>
          <w:noProof/>
          <w:sz w:val="20"/>
          <w:lang w:eastAsia="it-IT"/>
        </w:rPr>
        <w:t xml:space="preserve"> del </w:t>
      </w:r>
      <w:r w:rsidR="00F72E24" w:rsidRPr="006A61AA">
        <w:rPr>
          <w:rFonts w:ascii="Titillium" w:hAnsi="Titillium"/>
          <w:sz w:val="20"/>
        </w:rPr>
        <w:t>d.lgs. n. 39/2013</w:t>
      </w:r>
      <w:r w:rsidR="00F72E24">
        <w:rPr>
          <w:rFonts w:ascii="Titillium" w:hAnsi="Titillium"/>
          <w:sz w:val="20"/>
        </w:rPr>
        <w:t xml:space="preserve"> rispetto a</w:t>
      </w:r>
      <w:r w:rsidR="00E133E5">
        <w:rPr>
          <w:rFonts w:ascii="Titillium" w:hAnsi="Titillium"/>
          <w:sz w:val="20"/>
        </w:rPr>
        <w:t>gli incarichi amministrativi di vertice, di amministratore e dirigenziali</w:t>
      </w:r>
      <w:r w:rsidR="00D15D33">
        <w:rPr>
          <w:rFonts w:ascii="Titillium" w:hAnsi="Titillium"/>
          <w:sz w:val="20"/>
        </w:rPr>
        <w:t xml:space="preserve"> nell’ente di diritto privato in controllo pubblico</w:t>
      </w:r>
      <w:r w:rsidR="0015463B" w:rsidRPr="006A61AA">
        <w:rPr>
          <w:rFonts w:ascii="Titillium" w:hAnsi="Titillium"/>
          <w:sz w:val="20"/>
        </w:rPr>
        <w:t xml:space="preserve">; </w:t>
      </w:r>
    </w:p>
    <w:p w:rsidR="00B772BC" w:rsidRPr="00882A6A" w:rsidRDefault="00B772BC" w:rsidP="00882A6A">
      <w:pPr>
        <w:tabs>
          <w:tab w:val="left" w:pos="0"/>
          <w:tab w:val="left" w:pos="142"/>
        </w:tabs>
        <w:spacing w:line="360" w:lineRule="auto"/>
        <w:jc w:val="center"/>
        <w:rPr>
          <w:rFonts w:ascii="Titillium" w:hAnsi="Titillium" w:cs="Titillium Web"/>
          <w:b/>
          <w:sz w:val="20"/>
          <w:szCs w:val="20"/>
        </w:rPr>
      </w:pPr>
      <w:bookmarkStart w:id="1" w:name="_Hlk210815306"/>
      <w:r w:rsidRPr="007D46A3">
        <w:rPr>
          <w:rFonts w:ascii="Titillium" w:hAnsi="Titillium" w:cs="Titillium Web"/>
          <w:b/>
          <w:sz w:val="20"/>
          <w:szCs w:val="20"/>
        </w:rPr>
        <w:lastRenderedPageBreak/>
        <w:t>DICHIARA ALTRESI’</w:t>
      </w:r>
      <w:bookmarkEnd w:id="1"/>
    </w:p>
    <w:p w:rsidR="00A43279" w:rsidRPr="00737444" w:rsidRDefault="00B772BC" w:rsidP="00882A6A">
      <w:pPr>
        <w:pStyle w:val="Paragrafoelenco"/>
        <w:tabs>
          <w:tab w:val="left" w:pos="993"/>
        </w:tabs>
        <w:ind w:left="0"/>
        <w:contextualSpacing w:val="0"/>
        <w:jc w:val="both"/>
      </w:pPr>
      <w:r w:rsidRPr="006E1AC5">
        <w:rPr>
          <w:rFonts w:ascii="Titillium" w:hAnsi="Titillium"/>
          <w:sz w:val="20"/>
          <w:szCs w:val="20"/>
        </w:rPr>
        <w:t>di essere informato che, ai sensi di quanto disposto dall’art. 20, comma 3</w:t>
      </w:r>
      <w:r>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dell’ente, nell’apposita sezione “Amministrazione Trasparente</w:t>
      </w:r>
      <w:r>
        <w:rPr>
          <w:rFonts w:ascii="Titillium" w:hAnsi="Titillium"/>
          <w:sz w:val="20"/>
          <w:szCs w:val="20"/>
        </w:rPr>
        <w:t xml:space="preserve">” </w:t>
      </w:r>
      <w:r>
        <w:rPr>
          <w:rStyle w:val="Rimandonotaapidipagina"/>
          <w:rFonts w:ascii="Titillium" w:hAnsi="Titillium"/>
          <w:sz w:val="20"/>
        </w:rPr>
        <w:footnoteReference w:id="4"/>
      </w:r>
      <w:r>
        <w:t xml:space="preserve">. </w:t>
      </w:r>
    </w:p>
    <w:p w:rsidR="0069596A" w:rsidRPr="0069596A" w:rsidRDefault="0069596A" w:rsidP="0069596A">
      <w:pPr>
        <w:jc w:val="both"/>
        <w:rPr>
          <w:rFonts w:ascii="Titillium" w:hAnsi="Titillium"/>
          <w:sz w:val="20"/>
          <w:szCs w:val="20"/>
        </w:rPr>
      </w:pPr>
      <w:bookmarkStart w:id="4" w:name="_Hlk200102237"/>
      <w:r w:rsidRPr="005C437C">
        <w:rPr>
          <w:rFonts w:ascii="Titillium" w:hAnsi="Titillium"/>
          <w:sz w:val="20"/>
          <w:szCs w:val="20"/>
        </w:rPr>
        <w:t>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anche tramite acquisizione di informazioni sulle iscrizioni esistenti nel casellario giudiziale.</w:t>
      </w:r>
    </w:p>
    <w:bookmarkEnd w:id="4"/>
    <w:p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p>
    <w:p w:rsidR="0094356A" w:rsidRPr="007427D1" w:rsidRDefault="007427D1" w:rsidP="007427D1">
      <w:pPr>
        <w:spacing w:line="360" w:lineRule="auto"/>
        <w:ind w:firstLine="7371"/>
        <w:jc w:val="both"/>
        <w:rPr>
          <w:rFonts w:ascii="Titillium" w:hAnsi="Titillium" w:cs="Titillium Web"/>
          <w:sz w:val="20"/>
          <w:szCs w:val="20"/>
        </w:rPr>
      </w:pPr>
      <w:r w:rsidRPr="007427D1">
        <w:rPr>
          <w:rFonts w:ascii="Titillium" w:hAnsi="Titillium" w:cs="Titillium Web"/>
          <w:sz w:val="20"/>
          <w:szCs w:val="20"/>
        </w:rPr>
        <w:t>Firma</w:t>
      </w:r>
    </w:p>
    <w:p w:rsidR="008B0182" w:rsidRDefault="008B0182" w:rsidP="0094356A">
      <w:pPr>
        <w:spacing w:line="360" w:lineRule="auto"/>
        <w:jc w:val="both"/>
        <w:rPr>
          <w:rFonts w:ascii="Titillium" w:hAnsi="Titillium" w:cs="Titillium Web"/>
          <w:sz w:val="20"/>
          <w:szCs w:val="20"/>
        </w:rPr>
      </w:pPr>
    </w:p>
    <w:p w:rsidR="008F1B31" w:rsidRPr="0094356A" w:rsidRDefault="0094356A" w:rsidP="0094356A">
      <w:pPr>
        <w:spacing w:line="360" w:lineRule="auto"/>
        <w:jc w:val="both"/>
        <w:rPr>
          <w:rFonts w:ascii="Titillium" w:hAnsi="Titillium" w:cs="Titillium Web"/>
          <w:sz w:val="20"/>
          <w:szCs w:val="20"/>
        </w:rPr>
      </w:pPr>
      <w:r w:rsidRPr="0094356A">
        <w:rPr>
          <w:rFonts w:ascii="Titillium" w:hAnsi="Titillium" w:cs="Titillium Web"/>
          <w:sz w:val="20"/>
          <w:szCs w:val="20"/>
        </w:rPr>
        <w:t>La versione originale del documento è depositata presso l’Ufficio</w:t>
      </w:r>
    </w:p>
    <w:sectPr w:rsidR="008F1B31" w:rsidRPr="0094356A" w:rsidSect="00B4300C">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C9C" w:rsidRDefault="004A3C9C" w:rsidP="001A58E6">
      <w:pPr>
        <w:spacing w:after="0" w:line="240" w:lineRule="auto"/>
      </w:pPr>
      <w:r>
        <w:separator/>
      </w:r>
    </w:p>
  </w:endnote>
  <w:endnote w:type="continuationSeparator" w:id="0">
    <w:p w:rsidR="004A3C9C" w:rsidRDefault="004A3C9C" w:rsidP="001A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D0" w:rsidRDefault="007217D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69" w:rsidRDefault="008E2D69" w:rsidP="00C0653D">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D0" w:rsidRDefault="007217D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C9C" w:rsidRDefault="004A3C9C" w:rsidP="001A58E6">
      <w:pPr>
        <w:spacing w:after="0" w:line="240" w:lineRule="auto"/>
      </w:pPr>
      <w:r>
        <w:separator/>
      </w:r>
    </w:p>
  </w:footnote>
  <w:footnote w:type="continuationSeparator" w:id="0">
    <w:p w:rsidR="004A3C9C" w:rsidRDefault="004A3C9C" w:rsidP="001A58E6">
      <w:pPr>
        <w:spacing w:after="0" w:line="240" w:lineRule="auto"/>
      </w:pPr>
      <w:r>
        <w:continuationSeparator/>
      </w:r>
    </w:p>
  </w:footnote>
  <w:footnote w:id="1">
    <w:p w:rsidR="00D20D97" w:rsidRPr="00EA056E" w:rsidRDefault="00D20D97" w:rsidP="00D20D97">
      <w:pPr>
        <w:pStyle w:val="Testonotaapidipagina"/>
        <w:ind w:left="284"/>
        <w:jc w:val="both"/>
        <w:rPr>
          <w:i/>
          <w:sz w:val="16"/>
          <w:szCs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67285A">
        <w:rPr>
          <w:b/>
          <w:sz w:val="16"/>
        </w:rPr>
        <w:t>, comma 2,</w:t>
      </w:r>
      <w:r w:rsidR="00EA056E">
        <w:rPr>
          <w:sz w:val="16"/>
        </w:rPr>
        <w:t xml:space="preserve"> </w:t>
      </w:r>
      <w:r w:rsidR="00367A94" w:rsidRPr="00367A94">
        <w:rPr>
          <w:b/>
          <w:bCs/>
          <w:sz w:val="16"/>
        </w:rPr>
        <w:t>lett. c)</w:t>
      </w:r>
      <w:r w:rsidR="006750D3">
        <w:rPr>
          <w:b/>
          <w:bCs/>
          <w:sz w:val="16"/>
        </w:rPr>
        <w:t>:</w:t>
      </w:r>
      <w:r w:rsidR="00367A94">
        <w:rPr>
          <w:sz w:val="16"/>
        </w:rPr>
        <w:t xml:space="preserve"> </w:t>
      </w:r>
      <w:r w:rsidR="0067285A">
        <w:rPr>
          <w:sz w:val="16"/>
        </w:rPr>
        <w:t>“</w:t>
      </w:r>
      <w:r w:rsidR="00EA056E" w:rsidRPr="00EA056E">
        <w:rPr>
          <w:i/>
          <w:sz w:val="16"/>
        </w:rPr>
        <w:t>Ai fini del presente decreto si intende</w:t>
      </w:r>
      <w:r w:rsidR="00EA056E">
        <w:rPr>
          <w:sz w:val="16"/>
        </w:rPr>
        <w:t>:</w:t>
      </w:r>
      <w:r w:rsidR="0067285A">
        <w:rPr>
          <w:sz w:val="16"/>
        </w:rPr>
        <w:t xml:space="preserve"> (...) </w:t>
      </w:r>
      <w:r w:rsidR="00EA056E">
        <w:rPr>
          <w:sz w:val="16"/>
        </w:rPr>
        <w:t>c) “</w:t>
      </w:r>
      <w:r w:rsidR="00EA056E" w:rsidRPr="00EA056E">
        <w:rPr>
          <w:i/>
          <w:sz w:val="16"/>
        </w:rPr>
        <w:t>p</w:t>
      </w:r>
      <w:r w:rsidR="00EA056E">
        <w:rPr>
          <w:i/>
          <w:sz w:val="16"/>
        </w:rPr>
        <w:t xml:space="preserve">er </w:t>
      </w:r>
      <w:r w:rsidR="00EA056E" w:rsidRPr="00EA056E">
        <w:rPr>
          <w:i/>
          <w:sz w:val="14"/>
          <w:szCs w:val="14"/>
        </w:rPr>
        <w:t>&lt;&lt;</w:t>
      </w:r>
      <w:r w:rsidR="00EA056E" w:rsidRPr="00EA056E">
        <w:rPr>
          <w:b/>
          <w:i/>
          <w:sz w:val="16"/>
        </w:rPr>
        <w:t>enti di diritto privato in controllo pubblico</w:t>
      </w:r>
      <w:r w:rsidR="00EA056E" w:rsidRPr="00EA056E">
        <w:rPr>
          <w:sz w:val="14"/>
          <w:szCs w:val="14"/>
        </w:rPr>
        <w:t>&gt;&gt;</w:t>
      </w:r>
      <w:r w:rsidR="00EA056E">
        <w:t xml:space="preserve">, </w:t>
      </w:r>
      <w:r w:rsidR="00EA056E" w:rsidRPr="00EA056E">
        <w:rPr>
          <w:i/>
          <w:sz w:val="16"/>
          <w:szCs w:val="16"/>
        </w:rPr>
        <w:t>le società</w:t>
      </w:r>
      <w:r w:rsidR="00EA056E">
        <w:rPr>
          <w:i/>
          <w:sz w:val="16"/>
          <w:szCs w:val="16"/>
        </w:rPr>
        <w:t xml:space="preserve">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r w:rsidR="0067285A">
        <w:rPr>
          <w:i/>
          <w:sz w:val="16"/>
          <w:szCs w:val="16"/>
        </w:rPr>
        <w:t>.</w:t>
      </w:r>
      <w:r w:rsidR="00EA056E">
        <w:rPr>
          <w:i/>
          <w:sz w:val="16"/>
          <w:szCs w:val="16"/>
        </w:rPr>
        <w:t>”</w:t>
      </w:r>
      <w:r w:rsidR="0067285A">
        <w:rPr>
          <w:i/>
          <w:sz w:val="16"/>
          <w:szCs w:val="16"/>
        </w:rPr>
        <w:t>;</w:t>
      </w:r>
    </w:p>
    <w:p w:rsidR="00D20D97" w:rsidRPr="00EA056E" w:rsidRDefault="00D20D97" w:rsidP="00D20D97">
      <w:pPr>
        <w:pStyle w:val="Testonotaapidipagina"/>
        <w:ind w:left="284"/>
        <w:jc w:val="both"/>
        <w:rPr>
          <w:i/>
          <w:sz w:val="16"/>
          <w:szCs w:val="16"/>
        </w:rPr>
      </w:pPr>
    </w:p>
    <w:p w:rsidR="00D20D97" w:rsidRPr="007B50E1" w:rsidRDefault="00D20D97" w:rsidP="0067285A">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67285A">
        <w:rPr>
          <w:b/>
          <w:sz w:val="16"/>
        </w:rPr>
        <w:t>, commi 1 e 4</w:t>
      </w:r>
      <w:r w:rsidR="006750D3">
        <w:rPr>
          <w:b/>
          <w:sz w:val="16"/>
        </w:rPr>
        <w:t>:</w:t>
      </w:r>
      <w:r w:rsidR="0067285A">
        <w:rPr>
          <w:b/>
          <w:sz w:val="16"/>
        </w:rPr>
        <w:t xml:space="preserve"> </w:t>
      </w:r>
      <w:r>
        <w:rPr>
          <w:sz w:val="16"/>
        </w:rPr>
        <w:t>“</w:t>
      </w:r>
      <w:r w:rsidRPr="00B87398">
        <w:rPr>
          <w:i/>
          <w:sz w:val="16"/>
        </w:rPr>
        <w:t>A</w:t>
      </w:r>
      <w:r>
        <w:rPr>
          <w:i/>
          <w:sz w:val="16"/>
        </w:rPr>
        <w:t>ll’atto del conferimento dell’incarico l’interessato presenta una dichiarazione sulla insussistenza di una delle cause di inconferibilità di cui al presente decreto.</w:t>
      </w:r>
      <w:r w:rsidR="0067285A">
        <w:rPr>
          <w:i/>
          <w:sz w:val="16"/>
        </w:rPr>
        <w:t xml:space="preserve"> (...) </w:t>
      </w:r>
      <w:r>
        <w:rPr>
          <w:i/>
          <w:sz w:val="16"/>
        </w:rPr>
        <w:t>La dichiarazione di cui al comma 1 è condizione per l’acquisizione dell’efficacia dell’incarico.”</w:t>
      </w:r>
      <w:r w:rsidR="006D217C">
        <w:rPr>
          <w:i/>
          <w:sz w:val="16"/>
        </w:rPr>
        <w:t>;</w:t>
      </w:r>
    </w:p>
  </w:footnote>
  <w:footnote w:id="2">
    <w:p w:rsidR="006750D3" w:rsidRPr="007B50E1" w:rsidRDefault="006750D3" w:rsidP="006750D3">
      <w:pPr>
        <w:pStyle w:val="Testonotaapidipagina"/>
        <w:ind w:left="644"/>
        <w:jc w:val="both"/>
        <w:rPr>
          <w:i/>
          <w:sz w:val="16"/>
        </w:rPr>
      </w:pPr>
    </w:p>
  </w:footnote>
  <w:footnote w:id="3">
    <w:p w:rsidR="00F72E24" w:rsidRDefault="00F72E24" w:rsidP="00F72E24">
      <w:pPr>
        <w:pStyle w:val="Testonotaapidipagina"/>
        <w:ind w:left="284"/>
        <w:jc w:val="both"/>
        <w:rPr>
          <w:i/>
          <w:sz w:val="16"/>
        </w:rPr>
      </w:pPr>
      <w:r>
        <w:rPr>
          <w:rStyle w:val="Rimandonotaapidipagina"/>
        </w:rPr>
        <w:footnoteRef/>
      </w:r>
      <w:r>
        <w:t xml:space="preserve"> </w:t>
      </w:r>
      <w:r w:rsidRPr="000C4C80">
        <w:rPr>
          <w:b/>
          <w:sz w:val="16"/>
        </w:rPr>
        <w:t>Art. 3</w:t>
      </w:r>
      <w:r>
        <w:rPr>
          <w:b/>
          <w:sz w:val="16"/>
        </w:rPr>
        <w:t>, comma 2, lett. a), c) e d)</w:t>
      </w:r>
      <w:r w:rsidR="006750D3">
        <w:rPr>
          <w:b/>
          <w:sz w:val="16"/>
        </w:rPr>
        <w:t>:</w:t>
      </w:r>
      <w:r>
        <w:rPr>
          <w:b/>
          <w:sz w:val="16"/>
        </w:rPr>
        <w:t xml:space="preserve"> </w:t>
      </w:r>
      <w:r>
        <w:rPr>
          <w:sz w:val="16"/>
        </w:rPr>
        <w:t>“</w:t>
      </w:r>
      <w:r w:rsidRPr="00B87398">
        <w:rPr>
          <w:i/>
          <w:sz w:val="16"/>
        </w:rPr>
        <w:t xml:space="preserve">A coloro che siano stati condannati, anche con sentenza non passata in giudicato, per uno dei reati previsti dal capo I del titolo II del libro secondo del codice penale, non possono essere attribuiti: </w:t>
      </w:r>
      <w:r>
        <w:rPr>
          <w:i/>
          <w:sz w:val="16"/>
        </w:rPr>
        <w:t>a)</w:t>
      </w:r>
      <w:r>
        <w:rPr>
          <w:rFonts w:ascii="Calibri" w:hAnsi="Calibri" w:cs="Calibri"/>
          <w:color w:val="000000"/>
          <w:sz w:val="22"/>
          <w:szCs w:val="22"/>
          <w:shd w:val="clear" w:color="auto" w:fill="F5FDFE"/>
        </w:rPr>
        <w:t xml:space="preserve"> </w:t>
      </w:r>
      <w:r w:rsidRPr="00CF42DA">
        <w:rPr>
          <w:i/>
          <w:sz w:val="16"/>
        </w:rPr>
        <w:t xml:space="preserve">gli incarichi amministrativi di vertice nelle amministrazioni statali, regionali e locali nonché negli </w:t>
      </w:r>
      <w:r w:rsidRPr="00991B5F">
        <w:rPr>
          <w:b/>
          <w:bCs/>
          <w:i/>
          <w:sz w:val="16"/>
        </w:rPr>
        <w:t>enti di diritto privato in controllo pubblico</w:t>
      </w:r>
      <w:r w:rsidRPr="00CF42DA">
        <w:rPr>
          <w:i/>
          <w:sz w:val="16"/>
        </w:rPr>
        <w:t>;</w:t>
      </w:r>
      <w:r>
        <w:rPr>
          <w:i/>
          <w:sz w:val="16"/>
        </w:rPr>
        <w:t xml:space="preserve"> (...) </w:t>
      </w:r>
      <w:r w:rsidRPr="00B87398">
        <w:rPr>
          <w:i/>
          <w:sz w:val="16"/>
        </w:rPr>
        <w:t xml:space="preserve">c) gli incarichi dirigenziali, interni e esterni, comunque denominati, nelle pubbliche amministrazioni, negli enti pubblici e negli </w:t>
      </w:r>
      <w:r w:rsidRPr="00B87398">
        <w:rPr>
          <w:b/>
          <w:i/>
          <w:sz w:val="16"/>
        </w:rPr>
        <w:t>enti di diritto privato in controllo pubblico</w:t>
      </w:r>
      <w:r w:rsidRPr="00B87398">
        <w:rPr>
          <w:i/>
          <w:sz w:val="16"/>
        </w:rPr>
        <w:t xml:space="preserve"> </w:t>
      </w:r>
      <w:r w:rsidRPr="00BC30D8">
        <w:rPr>
          <w:b/>
          <w:i/>
          <w:sz w:val="16"/>
        </w:rPr>
        <w:t>di livello nazionale, regionale e locale</w:t>
      </w:r>
      <w:r w:rsidRPr="007B50E1">
        <w:rPr>
          <w:b/>
          <w:i/>
          <w:sz w:val="16"/>
        </w:rPr>
        <w:t>;</w:t>
      </w:r>
      <w:r w:rsidRPr="007B50E1">
        <w:rPr>
          <w:i/>
          <w:sz w:val="16"/>
        </w:rPr>
        <w:t xml:space="preserve"> d) gli incarichi di amministratore di </w:t>
      </w:r>
      <w:r w:rsidRPr="007B50E1">
        <w:rPr>
          <w:b/>
          <w:i/>
          <w:sz w:val="16"/>
        </w:rPr>
        <w:t>ente di diritto privato in controllo pubblico di livello nazionale, regionale e locale</w:t>
      </w:r>
      <w:r w:rsidRPr="007B50E1">
        <w:rPr>
          <w:i/>
          <w:sz w:val="16"/>
        </w:rPr>
        <w:t>”</w:t>
      </w:r>
      <w:r w:rsidR="002659EE">
        <w:rPr>
          <w:i/>
          <w:sz w:val="16"/>
        </w:rPr>
        <w:t>.</w:t>
      </w:r>
    </w:p>
    <w:p w:rsidR="002659EE" w:rsidRDefault="002659EE" w:rsidP="002659EE">
      <w:pPr>
        <w:pStyle w:val="Testonotaapidipagina"/>
        <w:ind w:left="284"/>
        <w:jc w:val="both"/>
        <w:rPr>
          <w:iCs/>
          <w:sz w:val="16"/>
        </w:rPr>
      </w:pPr>
      <w:r>
        <w:rPr>
          <w:b/>
          <w:bCs/>
          <w:iCs/>
          <w:sz w:val="16"/>
        </w:rPr>
        <w:t>In merito, si evidenzia che a seguito dell’entrata in vigore del d.lgs. 150/2022 (Riforma Cartabia), l’articolo 3, co.7, del d.lgs. n. 39/2013, deve essere letto nel senso che la sentenza di patteggiamento per uno dei reati previsti dal menzionato articolo 3 non comporta l’inconferibilità degli incarichi, a meno che non siano state irrogate pene accessorie;</w:t>
      </w:r>
    </w:p>
    <w:p w:rsidR="002659EE" w:rsidRPr="007B50E1" w:rsidRDefault="002659EE" w:rsidP="00F72E24">
      <w:pPr>
        <w:pStyle w:val="Testonotaapidipagina"/>
        <w:ind w:left="284"/>
        <w:jc w:val="both"/>
        <w:rPr>
          <w:i/>
          <w:sz w:val="16"/>
        </w:rPr>
      </w:pPr>
    </w:p>
    <w:p w:rsidR="00F72E24" w:rsidRPr="007B50E1" w:rsidRDefault="00F72E24" w:rsidP="00F72E24">
      <w:pPr>
        <w:pStyle w:val="Testonotaapidipagina"/>
        <w:ind w:left="644"/>
        <w:jc w:val="both"/>
        <w:rPr>
          <w:i/>
          <w:sz w:val="16"/>
        </w:rPr>
      </w:pPr>
    </w:p>
  </w:footnote>
  <w:footnote w:id="4">
    <w:p w:rsidR="00B772BC" w:rsidRDefault="00B772BC" w:rsidP="00882A6A">
      <w:pPr>
        <w:pStyle w:val="Testonotaapidipagina"/>
        <w:ind w:left="284"/>
      </w:pPr>
      <w:r>
        <w:rPr>
          <w:rStyle w:val="Rimandonotaapidipagina"/>
        </w:rPr>
        <w:footnoteRef/>
      </w:r>
      <w:r>
        <w:t xml:space="preserve"> </w:t>
      </w:r>
      <w:bookmarkStart w:id="2" w:name="_Hlk210813766"/>
      <w:bookmarkStart w:id="3" w:name="_Hlk210815328"/>
      <w:r w:rsidR="00C04E26" w:rsidRPr="00882A6A">
        <w:rPr>
          <w:bCs/>
          <w:sz w:val="16"/>
        </w:rPr>
        <w:t>A</w:t>
      </w:r>
      <w:r w:rsidRPr="00882A6A">
        <w:rPr>
          <w:bCs/>
          <w:sz w:val="16"/>
        </w:rPr>
        <w:t xml:space="preserve">i sensi </w:t>
      </w:r>
      <w:r w:rsidRPr="00882A6A">
        <w:rPr>
          <w:b/>
          <w:sz w:val="16"/>
        </w:rPr>
        <w:t>dell’art. 14, co, 2, del d.lgs. n. 33/2013</w:t>
      </w:r>
      <w:r w:rsidRPr="00882A6A">
        <w:rPr>
          <w:sz w:val="16"/>
        </w:rPr>
        <w:t>, le pubbliche amministrazioni pubblicano i dati per i tre anni successivi dalla cessazione         del mandato o dell'incarico dei soggetti</w:t>
      </w:r>
      <w:bookmarkEnd w:id="2"/>
      <w:r w:rsidRPr="00C04E26">
        <w:rPr>
          <w:sz w:val="16"/>
        </w:rPr>
        <w:t>.</w:t>
      </w:r>
      <w:bookmarkEnd w:id="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D0" w:rsidRDefault="007217D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757"/>
      <w:gridCol w:w="1226"/>
    </w:tblGrid>
    <w:tr w:rsidR="008E2D69" w:rsidTr="00D20D97">
      <w:trPr>
        <w:trHeight w:val="288"/>
      </w:trPr>
      <w:tc>
        <w:tcPr>
          <w:tcW w:w="9530" w:type="dxa"/>
        </w:tcPr>
        <w:p w:rsidR="00792F4D"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INCONFERIBILITA’ ex art. 20 d.lgs. n. 39/2013</w:t>
          </w:r>
        </w:p>
        <w:p w:rsidR="00271CDC" w:rsidRDefault="00271CDC" w:rsidP="00C168AD">
          <w:pPr>
            <w:pStyle w:val="Intestazione"/>
            <w:jc w:val="both"/>
            <w:rPr>
              <w:rFonts w:asciiTheme="majorHAnsi" w:eastAsiaTheme="majorEastAsia" w:hAnsiTheme="majorHAnsi" w:cstheme="majorBidi"/>
              <w:sz w:val="32"/>
              <w:szCs w:val="32"/>
            </w:rPr>
          </w:pPr>
        </w:p>
        <w:p w:rsidR="00271CDC" w:rsidRPr="00271CDC" w:rsidRDefault="00271CDC" w:rsidP="00271CDC">
          <w:pPr>
            <w:autoSpaceDE w:val="0"/>
            <w:autoSpaceDN w:val="0"/>
            <w:adjustRightInd w:val="0"/>
            <w:spacing w:after="0" w:line="240" w:lineRule="auto"/>
            <w:rPr>
              <w:rFonts w:asciiTheme="majorHAnsi" w:hAnsiTheme="majorHAnsi"/>
              <w:b/>
              <w:bCs/>
            </w:rPr>
          </w:pPr>
          <w:r w:rsidRPr="00271CDC">
            <w:rPr>
              <w:rFonts w:asciiTheme="majorHAnsi" w:hAnsiTheme="majorHAnsi"/>
              <w:b/>
              <w:bCs/>
            </w:rPr>
            <w:t xml:space="preserve">Avviso pubblico </w:t>
          </w:r>
          <w:proofErr w:type="spellStart"/>
          <w:r w:rsidRPr="00271CDC">
            <w:rPr>
              <w:rFonts w:asciiTheme="majorHAnsi" w:hAnsiTheme="majorHAnsi"/>
              <w:b/>
              <w:bCs/>
            </w:rPr>
            <w:t>prot</w:t>
          </w:r>
          <w:proofErr w:type="spellEnd"/>
          <w:r w:rsidRPr="00271CDC">
            <w:rPr>
              <w:rFonts w:asciiTheme="majorHAnsi" w:hAnsiTheme="majorHAnsi"/>
              <w:b/>
              <w:bCs/>
            </w:rPr>
            <w:t xml:space="preserve">. n. </w:t>
          </w:r>
          <w:r w:rsidR="00617DD7">
            <w:rPr>
              <w:rFonts w:asciiTheme="majorHAnsi" w:hAnsiTheme="majorHAnsi"/>
              <w:b/>
              <w:bCs/>
            </w:rPr>
            <w:t xml:space="preserve"> 44314</w:t>
          </w:r>
          <w:r w:rsidRPr="00271CDC">
            <w:rPr>
              <w:rFonts w:asciiTheme="majorHAnsi" w:hAnsiTheme="majorHAnsi"/>
              <w:b/>
              <w:bCs/>
            </w:rPr>
            <w:t>/2026</w:t>
          </w:r>
        </w:p>
        <w:p w:rsidR="00271CDC" w:rsidRPr="00733F51" w:rsidRDefault="00271CDC" w:rsidP="00271CDC">
          <w:pPr>
            <w:pStyle w:val="Intestazione"/>
            <w:jc w:val="both"/>
            <w:rPr>
              <w:rFonts w:asciiTheme="majorHAnsi" w:eastAsiaTheme="majorEastAsia" w:hAnsiTheme="majorHAnsi" w:cstheme="majorBidi"/>
              <w:sz w:val="32"/>
              <w:szCs w:val="32"/>
            </w:rPr>
          </w:pPr>
          <w:r w:rsidRPr="00271CDC">
            <w:rPr>
              <w:rFonts w:asciiTheme="majorHAnsi" w:hAnsiTheme="majorHAnsi"/>
              <w:b/>
              <w:bCs/>
            </w:rPr>
            <w:t>(Scadenza</w:t>
          </w:r>
          <w:r w:rsidR="007217D0">
            <w:rPr>
              <w:rFonts w:asciiTheme="majorHAnsi" w:hAnsiTheme="majorHAnsi"/>
              <w:b/>
              <w:bCs/>
            </w:rPr>
            <w:t>: entro e non oltre il giorno 3  luglio 2026, ore 17</w:t>
          </w:r>
          <w:r w:rsidRPr="00271CDC">
            <w:rPr>
              <w:rFonts w:asciiTheme="majorHAnsi" w:hAnsiTheme="majorHAnsi"/>
              <w:b/>
              <w:bCs/>
            </w:rPr>
            <w:t>:00)</w:t>
          </w:r>
        </w:p>
      </w:tc>
      <w:tc>
        <w:tcPr>
          <w:tcW w:w="1197" w:type="dxa"/>
        </w:tcPr>
        <w:p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rsidR="008E2D69" w:rsidRDefault="008E2D69" w:rsidP="00D20D97">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D0" w:rsidRDefault="007217D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nsid w:val="688B6C34"/>
    <w:multiLevelType w:val="hybridMultilevel"/>
    <w:tmpl w:val="815E5602"/>
    <w:lvl w:ilvl="0" w:tplc="6EE81F3C">
      <w:start w:val="2"/>
      <w:numFmt w:val="bullet"/>
      <w:lvlText w:val="-"/>
      <w:lvlJc w:val="left"/>
      <w:pPr>
        <w:ind w:left="1069" w:hanging="360"/>
      </w:pPr>
      <w:rPr>
        <w:rFonts w:ascii="Titillium" w:eastAsiaTheme="minorHAnsi" w:hAnsi="Titillium"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26">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1">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8"/>
  </w:num>
  <w:num w:numId="3">
    <w:abstractNumId w:val="0"/>
  </w:num>
  <w:num w:numId="4">
    <w:abstractNumId w:val="26"/>
  </w:num>
  <w:num w:numId="5">
    <w:abstractNumId w:val="18"/>
  </w:num>
  <w:num w:numId="6">
    <w:abstractNumId w:val="13"/>
  </w:num>
  <w:num w:numId="7">
    <w:abstractNumId w:val="5"/>
  </w:num>
  <w:num w:numId="8">
    <w:abstractNumId w:val="1"/>
  </w:num>
  <w:num w:numId="9">
    <w:abstractNumId w:val="22"/>
  </w:num>
  <w:num w:numId="10">
    <w:abstractNumId w:val="16"/>
  </w:num>
  <w:num w:numId="11">
    <w:abstractNumId w:val="31"/>
  </w:num>
  <w:num w:numId="12">
    <w:abstractNumId w:val="4"/>
  </w:num>
  <w:num w:numId="13">
    <w:abstractNumId w:val="27"/>
  </w:num>
  <w:num w:numId="14">
    <w:abstractNumId w:val="14"/>
  </w:num>
  <w:num w:numId="15">
    <w:abstractNumId w:val="2"/>
  </w:num>
  <w:num w:numId="16">
    <w:abstractNumId w:val="20"/>
  </w:num>
  <w:num w:numId="17">
    <w:abstractNumId w:val="3"/>
  </w:num>
  <w:num w:numId="18">
    <w:abstractNumId w:val="21"/>
  </w:num>
  <w:num w:numId="19">
    <w:abstractNumId w:val="19"/>
  </w:num>
  <w:num w:numId="20">
    <w:abstractNumId w:val="11"/>
  </w:num>
  <w:num w:numId="21">
    <w:abstractNumId w:val="8"/>
  </w:num>
  <w:num w:numId="22">
    <w:abstractNumId w:val="12"/>
  </w:num>
  <w:num w:numId="23">
    <w:abstractNumId w:val="6"/>
  </w:num>
  <w:num w:numId="24">
    <w:abstractNumId w:val="25"/>
  </w:num>
  <w:num w:numId="25">
    <w:abstractNumId w:val="17"/>
  </w:num>
  <w:num w:numId="26">
    <w:abstractNumId w:val="23"/>
  </w:num>
  <w:num w:numId="27">
    <w:abstractNumId w:val="29"/>
  </w:num>
  <w:num w:numId="28">
    <w:abstractNumId w:val="10"/>
  </w:num>
  <w:num w:numId="29">
    <w:abstractNumId w:val="7"/>
  </w:num>
  <w:num w:numId="30">
    <w:abstractNumId w:val="30"/>
  </w:num>
  <w:num w:numId="31">
    <w:abstractNumId w:val="15"/>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rsids>
    <w:rsidRoot w:val="001C6033"/>
    <w:rsid w:val="00011016"/>
    <w:rsid w:val="000159DE"/>
    <w:rsid w:val="00024B22"/>
    <w:rsid w:val="00043483"/>
    <w:rsid w:val="0004658A"/>
    <w:rsid w:val="00047713"/>
    <w:rsid w:val="00057711"/>
    <w:rsid w:val="00060F2B"/>
    <w:rsid w:val="0006494A"/>
    <w:rsid w:val="0007024C"/>
    <w:rsid w:val="00095A1A"/>
    <w:rsid w:val="000A5220"/>
    <w:rsid w:val="000A5B85"/>
    <w:rsid w:val="000A6AED"/>
    <w:rsid w:val="000C2022"/>
    <w:rsid w:val="000C41ED"/>
    <w:rsid w:val="000D73C8"/>
    <w:rsid w:val="000E1E88"/>
    <w:rsid w:val="000E5D8E"/>
    <w:rsid w:val="00113CB0"/>
    <w:rsid w:val="0012164E"/>
    <w:rsid w:val="00140F5C"/>
    <w:rsid w:val="0015463B"/>
    <w:rsid w:val="00162B5C"/>
    <w:rsid w:val="0016404C"/>
    <w:rsid w:val="00170A70"/>
    <w:rsid w:val="00171185"/>
    <w:rsid w:val="0017124A"/>
    <w:rsid w:val="001816E3"/>
    <w:rsid w:val="00184463"/>
    <w:rsid w:val="00185821"/>
    <w:rsid w:val="001A58E6"/>
    <w:rsid w:val="001B44B5"/>
    <w:rsid w:val="001B6EED"/>
    <w:rsid w:val="001C6033"/>
    <w:rsid w:val="001D524E"/>
    <w:rsid w:val="001D65F9"/>
    <w:rsid w:val="001E5552"/>
    <w:rsid w:val="001E5ABB"/>
    <w:rsid w:val="001F57F5"/>
    <w:rsid w:val="001F5CF0"/>
    <w:rsid w:val="002005EF"/>
    <w:rsid w:val="00203938"/>
    <w:rsid w:val="00205FFC"/>
    <w:rsid w:val="002064E6"/>
    <w:rsid w:val="0022655F"/>
    <w:rsid w:val="00232DFF"/>
    <w:rsid w:val="00245690"/>
    <w:rsid w:val="00250E40"/>
    <w:rsid w:val="002604E5"/>
    <w:rsid w:val="00264AF4"/>
    <w:rsid w:val="00264FCC"/>
    <w:rsid w:val="002659EE"/>
    <w:rsid w:val="00271CDC"/>
    <w:rsid w:val="00271EAF"/>
    <w:rsid w:val="00277A5B"/>
    <w:rsid w:val="002A43B7"/>
    <w:rsid w:val="002B0357"/>
    <w:rsid w:val="002E2087"/>
    <w:rsid w:val="00302A7D"/>
    <w:rsid w:val="00304857"/>
    <w:rsid w:val="00306431"/>
    <w:rsid w:val="00310EC2"/>
    <w:rsid w:val="00312F99"/>
    <w:rsid w:val="003226EE"/>
    <w:rsid w:val="003250DA"/>
    <w:rsid w:val="00337A8F"/>
    <w:rsid w:val="003440FD"/>
    <w:rsid w:val="003538B6"/>
    <w:rsid w:val="00364332"/>
    <w:rsid w:val="00367A94"/>
    <w:rsid w:val="0037164B"/>
    <w:rsid w:val="00373D77"/>
    <w:rsid w:val="00375673"/>
    <w:rsid w:val="0039226B"/>
    <w:rsid w:val="00393019"/>
    <w:rsid w:val="0039706F"/>
    <w:rsid w:val="003A0156"/>
    <w:rsid w:val="003A227E"/>
    <w:rsid w:val="003A3014"/>
    <w:rsid w:val="003C05C1"/>
    <w:rsid w:val="003C3090"/>
    <w:rsid w:val="003C31FD"/>
    <w:rsid w:val="003C7B49"/>
    <w:rsid w:val="003E1096"/>
    <w:rsid w:val="003F4912"/>
    <w:rsid w:val="004026B4"/>
    <w:rsid w:val="004050E0"/>
    <w:rsid w:val="00413E87"/>
    <w:rsid w:val="0043650B"/>
    <w:rsid w:val="0044244F"/>
    <w:rsid w:val="00445E99"/>
    <w:rsid w:val="00451C53"/>
    <w:rsid w:val="00490DB2"/>
    <w:rsid w:val="004A3C9C"/>
    <w:rsid w:val="004A6662"/>
    <w:rsid w:val="004B064F"/>
    <w:rsid w:val="004B76F9"/>
    <w:rsid w:val="004D06E3"/>
    <w:rsid w:val="004D184F"/>
    <w:rsid w:val="004E0559"/>
    <w:rsid w:val="004E1C6D"/>
    <w:rsid w:val="004E278E"/>
    <w:rsid w:val="004E37F6"/>
    <w:rsid w:val="004E708C"/>
    <w:rsid w:val="0050236F"/>
    <w:rsid w:val="005159A8"/>
    <w:rsid w:val="00517826"/>
    <w:rsid w:val="0052056C"/>
    <w:rsid w:val="00521540"/>
    <w:rsid w:val="0054713A"/>
    <w:rsid w:val="00550447"/>
    <w:rsid w:val="005664E8"/>
    <w:rsid w:val="00595120"/>
    <w:rsid w:val="005A79DA"/>
    <w:rsid w:val="005B0D22"/>
    <w:rsid w:val="005C0D66"/>
    <w:rsid w:val="005C29E7"/>
    <w:rsid w:val="005C437C"/>
    <w:rsid w:val="005D375C"/>
    <w:rsid w:val="006049D5"/>
    <w:rsid w:val="00612F2F"/>
    <w:rsid w:val="0061727F"/>
    <w:rsid w:val="00617DD7"/>
    <w:rsid w:val="00640EBD"/>
    <w:rsid w:val="00665E16"/>
    <w:rsid w:val="0067285A"/>
    <w:rsid w:val="006750D3"/>
    <w:rsid w:val="00680F92"/>
    <w:rsid w:val="00687E0B"/>
    <w:rsid w:val="00691E8A"/>
    <w:rsid w:val="0069596A"/>
    <w:rsid w:val="00696737"/>
    <w:rsid w:val="006A61AA"/>
    <w:rsid w:val="006B3767"/>
    <w:rsid w:val="006C0F11"/>
    <w:rsid w:val="006D217C"/>
    <w:rsid w:val="006E1AC5"/>
    <w:rsid w:val="006E69E4"/>
    <w:rsid w:val="00714FCA"/>
    <w:rsid w:val="00717B29"/>
    <w:rsid w:val="007217D0"/>
    <w:rsid w:val="00733F51"/>
    <w:rsid w:val="00737444"/>
    <w:rsid w:val="007427D1"/>
    <w:rsid w:val="00751E1F"/>
    <w:rsid w:val="0077649D"/>
    <w:rsid w:val="00781931"/>
    <w:rsid w:val="00783A52"/>
    <w:rsid w:val="00792F4D"/>
    <w:rsid w:val="007960A7"/>
    <w:rsid w:val="007B3511"/>
    <w:rsid w:val="007B50E1"/>
    <w:rsid w:val="007B5F76"/>
    <w:rsid w:val="007C15EB"/>
    <w:rsid w:val="007C4612"/>
    <w:rsid w:val="007D0045"/>
    <w:rsid w:val="007D1D13"/>
    <w:rsid w:val="007F141F"/>
    <w:rsid w:val="00803886"/>
    <w:rsid w:val="00804EB7"/>
    <w:rsid w:val="00813049"/>
    <w:rsid w:val="00814389"/>
    <w:rsid w:val="00817D4D"/>
    <w:rsid w:val="00823823"/>
    <w:rsid w:val="008355A4"/>
    <w:rsid w:val="0084005D"/>
    <w:rsid w:val="00847EA4"/>
    <w:rsid w:val="00850B25"/>
    <w:rsid w:val="00864E26"/>
    <w:rsid w:val="00866F60"/>
    <w:rsid w:val="00882A6A"/>
    <w:rsid w:val="00893CA7"/>
    <w:rsid w:val="008B0182"/>
    <w:rsid w:val="008B0C2C"/>
    <w:rsid w:val="008B77B1"/>
    <w:rsid w:val="008B7DD7"/>
    <w:rsid w:val="008E2D69"/>
    <w:rsid w:val="008E7F91"/>
    <w:rsid w:val="008F1B31"/>
    <w:rsid w:val="0090776B"/>
    <w:rsid w:val="00910D3F"/>
    <w:rsid w:val="00924018"/>
    <w:rsid w:val="00934E9E"/>
    <w:rsid w:val="00940544"/>
    <w:rsid w:val="00940FD4"/>
    <w:rsid w:val="00941053"/>
    <w:rsid w:val="0094356A"/>
    <w:rsid w:val="00946B56"/>
    <w:rsid w:val="00947D21"/>
    <w:rsid w:val="009600AE"/>
    <w:rsid w:val="009727E8"/>
    <w:rsid w:val="00991B5F"/>
    <w:rsid w:val="009B17F2"/>
    <w:rsid w:val="009B6EFC"/>
    <w:rsid w:val="009C7F7A"/>
    <w:rsid w:val="009D56A7"/>
    <w:rsid w:val="009D5865"/>
    <w:rsid w:val="009F7E36"/>
    <w:rsid w:val="00A078B5"/>
    <w:rsid w:val="00A20C7D"/>
    <w:rsid w:val="00A24412"/>
    <w:rsid w:val="00A36896"/>
    <w:rsid w:val="00A4109D"/>
    <w:rsid w:val="00A43279"/>
    <w:rsid w:val="00A47510"/>
    <w:rsid w:val="00A61285"/>
    <w:rsid w:val="00A76C67"/>
    <w:rsid w:val="00AC0522"/>
    <w:rsid w:val="00AC70CE"/>
    <w:rsid w:val="00B04EFB"/>
    <w:rsid w:val="00B11092"/>
    <w:rsid w:val="00B20FB4"/>
    <w:rsid w:val="00B23CA0"/>
    <w:rsid w:val="00B24D34"/>
    <w:rsid w:val="00B4300C"/>
    <w:rsid w:val="00B44779"/>
    <w:rsid w:val="00B60A21"/>
    <w:rsid w:val="00B67704"/>
    <w:rsid w:val="00B70A13"/>
    <w:rsid w:val="00B720F8"/>
    <w:rsid w:val="00B74043"/>
    <w:rsid w:val="00B772BC"/>
    <w:rsid w:val="00B87398"/>
    <w:rsid w:val="00B92EC7"/>
    <w:rsid w:val="00B93CEB"/>
    <w:rsid w:val="00BA343A"/>
    <w:rsid w:val="00BC064B"/>
    <w:rsid w:val="00BC30D8"/>
    <w:rsid w:val="00BC7B6F"/>
    <w:rsid w:val="00BD6D9B"/>
    <w:rsid w:val="00C04E26"/>
    <w:rsid w:val="00C0653D"/>
    <w:rsid w:val="00C168AD"/>
    <w:rsid w:val="00C278EE"/>
    <w:rsid w:val="00C34162"/>
    <w:rsid w:val="00C37BC9"/>
    <w:rsid w:val="00C447E4"/>
    <w:rsid w:val="00C50247"/>
    <w:rsid w:val="00C541DE"/>
    <w:rsid w:val="00C5652D"/>
    <w:rsid w:val="00C56EA0"/>
    <w:rsid w:val="00C97882"/>
    <w:rsid w:val="00CA394A"/>
    <w:rsid w:val="00CC2DB7"/>
    <w:rsid w:val="00CD124D"/>
    <w:rsid w:val="00CD5B8D"/>
    <w:rsid w:val="00CE1A45"/>
    <w:rsid w:val="00CE33F1"/>
    <w:rsid w:val="00CE4F92"/>
    <w:rsid w:val="00CF42DA"/>
    <w:rsid w:val="00D147DF"/>
    <w:rsid w:val="00D15D33"/>
    <w:rsid w:val="00D20BAD"/>
    <w:rsid w:val="00D20D97"/>
    <w:rsid w:val="00D2394A"/>
    <w:rsid w:val="00D263F3"/>
    <w:rsid w:val="00D3085F"/>
    <w:rsid w:val="00D33823"/>
    <w:rsid w:val="00D43F10"/>
    <w:rsid w:val="00D45027"/>
    <w:rsid w:val="00D5038D"/>
    <w:rsid w:val="00D640A6"/>
    <w:rsid w:val="00D748E0"/>
    <w:rsid w:val="00D90679"/>
    <w:rsid w:val="00D97A61"/>
    <w:rsid w:val="00DA0A94"/>
    <w:rsid w:val="00DA1604"/>
    <w:rsid w:val="00DB11CD"/>
    <w:rsid w:val="00DB4BD2"/>
    <w:rsid w:val="00DB5F57"/>
    <w:rsid w:val="00DC56E2"/>
    <w:rsid w:val="00DD1736"/>
    <w:rsid w:val="00DE36F2"/>
    <w:rsid w:val="00DE582B"/>
    <w:rsid w:val="00DF1859"/>
    <w:rsid w:val="00DF7E35"/>
    <w:rsid w:val="00E01451"/>
    <w:rsid w:val="00E066B1"/>
    <w:rsid w:val="00E133E5"/>
    <w:rsid w:val="00E172AA"/>
    <w:rsid w:val="00E32AC0"/>
    <w:rsid w:val="00E33728"/>
    <w:rsid w:val="00E353E2"/>
    <w:rsid w:val="00E41B99"/>
    <w:rsid w:val="00E43A3F"/>
    <w:rsid w:val="00E67499"/>
    <w:rsid w:val="00EA056E"/>
    <w:rsid w:val="00EC4C9D"/>
    <w:rsid w:val="00EE1A7A"/>
    <w:rsid w:val="00EF296A"/>
    <w:rsid w:val="00EF3419"/>
    <w:rsid w:val="00F12C76"/>
    <w:rsid w:val="00F12EEA"/>
    <w:rsid w:val="00F21E74"/>
    <w:rsid w:val="00F30FD3"/>
    <w:rsid w:val="00F3127E"/>
    <w:rsid w:val="00F33DC4"/>
    <w:rsid w:val="00F435D3"/>
    <w:rsid w:val="00F45224"/>
    <w:rsid w:val="00F46AF4"/>
    <w:rsid w:val="00F72E24"/>
    <w:rsid w:val="00F950FA"/>
    <w:rsid w:val="00FA6A2B"/>
    <w:rsid w:val="00FB2FED"/>
    <w:rsid w:val="00FD79B3"/>
    <w:rsid w:val="00FE1495"/>
    <w:rsid w:val="00FE52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deltesto">
    <w:name w:val="Body Text"/>
    <w:basedOn w:val="Normale"/>
    <w:link w:val="Corpodel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deltestoCarattere">
    <w:name w:val="Corpo del testo Carattere"/>
    <w:basedOn w:val="Carpredefinitoparagrafo"/>
    <w:link w:val="Corpodel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semiHidden/>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s>
</file>

<file path=word/webSettings.xml><?xml version="1.0" encoding="utf-8"?>
<w:webSettings xmlns:r="http://schemas.openxmlformats.org/officeDocument/2006/relationships" xmlns:w="http://schemas.openxmlformats.org/wordprocessingml/2006/main">
  <w:divs>
    <w:div w:id="386998248">
      <w:bodyDiv w:val="1"/>
      <w:marLeft w:val="0"/>
      <w:marRight w:val="0"/>
      <w:marTop w:val="0"/>
      <w:marBottom w:val="0"/>
      <w:divBdr>
        <w:top w:val="none" w:sz="0" w:space="0" w:color="auto"/>
        <w:left w:val="none" w:sz="0" w:space="0" w:color="auto"/>
        <w:bottom w:val="none" w:sz="0" w:space="0" w:color="auto"/>
        <w:right w:val="none" w:sz="0" w:space="0" w:color="auto"/>
      </w:divBdr>
    </w:div>
    <w:div w:id="5602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3EA58-AF32-4EEA-8197-509B2E7A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Stefania.Fabris</cp:lastModifiedBy>
  <cp:revision>89</cp:revision>
  <cp:lastPrinted>2023-10-19T13:09:00Z</cp:lastPrinted>
  <dcterms:created xsi:type="dcterms:W3CDTF">2023-10-10T09:41:00Z</dcterms:created>
  <dcterms:modified xsi:type="dcterms:W3CDTF">2026-07-01T13:22:00Z</dcterms:modified>
</cp:coreProperties>
</file>