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28D" w:rsidRPr="0096028D" w:rsidRDefault="0096028D" w:rsidP="0096028D">
      <w:pPr>
        <w:pStyle w:val="Intestazione"/>
        <w:jc w:val="center"/>
        <w:rPr>
          <w:rFonts w:asciiTheme="majorHAnsi" w:eastAsiaTheme="majorEastAsia" w:hAnsiTheme="majorHAnsi" w:cstheme="majorBidi"/>
          <w:sz w:val="32"/>
          <w:szCs w:val="32"/>
        </w:rPr>
      </w:pPr>
      <w:r w:rsidRPr="0096028D">
        <w:rPr>
          <w:rFonts w:asciiTheme="majorHAnsi" w:eastAsiaTheme="majorEastAsia" w:hAnsiTheme="majorHAnsi" w:cstheme="majorBidi"/>
          <w:sz w:val="32"/>
          <w:szCs w:val="32"/>
        </w:rPr>
        <w:t>PUBBLICHE AMMINISTRAZIONI</w:t>
      </w:r>
      <w:r w:rsidRPr="0096028D">
        <w:rPr>
          <w:rFonts w:asciiTheme="majorHAnsi" w:eastAsiaTheme="majorEastAsia" w:hAnsiTheme="majorHAnsi" w:cstheme="majorBidi"/>
          <w:sz w:val="32"/>
          <w:szCs w:val="32"/>
          <w:vertAlign w:val="superscript"/>
        </w:rPr>
        <w:footnoteReference w:id="1"/>
      </w:r>
    </w:p>
    <w:p w:rsidR="003A3014" w:rsidRDefault="003A3014" w:rsidP="00C0653D">
      <w:pPr>
        <w:spacing w:line="360" w:lineRule="auto"/>
        <w:jc w:val="both"/>
        <w:rPr>
          <w:rFonts w:ascii="Garamond" w:hAnsi="Garamond" w:cs="Times New Roman"/>
          <w:sz w:val="24"/>
          <w:szCs w:val="24"/>
        </w:rPr>
      </w:pPr>
    </w:p>
    <w:p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9845FA">
        <w:rPr>
          <w:rFonts w:ascii="Titillium" w:hAnsi="Titillium" w:cs="Titillium Web"/>
          <w:sz w:val="20"/>
          <w:szCs w:val="20"/>
        </w:rPr>
        <w:t xml:space="preserve"> oggetto di candidatura, </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2D61F7">
      <w:pPr>
        <w:spacing w:line="360" w:lineRule="auto"/>
        <w:jc w:val="center"/>
        <w:rPr>
          <w:rFonts w:ascii="Titillium" w:hAnsi="Titillium" w:cs="Titillium Web"/>
          <w:sz w:val="20"/>
          <w:szCs w:val="20"/>
        </w:rPr>
      </w:pPr>
      <w:r w:rsidRPr="00290301">
        <w:rPr>
          <w:rFonts w:ascii="Titillium" w:hAnsi="Titillium" w:cs="Titillium Web"/>
          <w:b/>
          <w:bCs/>
          <w:sz w:val="20"/>
          <w:szCs w:val="20"/>
        </w:rPr>
        <w:t>DICH</w:t>
      </w:r>
      <w:r w:rsidR="00095A1A" w:rsidRPr="00290301">
        <w:rPr>
          <w:rFonts w:ascii="Titillium" w:hAnsi="Titillium" w:cs="Titillium Web"/>
          <w:b/>
          <w:bCs/>
          <w:sz w:val="20"/>
          <w:szCs w:val="20"/>
        </w:rPr>
        <w:t>IARA</w:t>
      </w:r>
      <w:r w:rsidR="009D6727" w:rsidRPr="009D6727">
        <w:rPr>
          <w:rFonts w:ascii="Titillium" w:hAnsi="Titillium" w:cs="Titillium Web"/>
          <w:sz w:val="20"/>
          <w:szCs w:val="20"/>
          <w:vertAlign w:val="superscript"/>
        </w:rPr>
        <w:footnoteReference w:id="2"/>
      </w:r>
    </w:p>
    <w:p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sidRPr="00854115">
        <w:rPr>
          <w:rFonts w:ascii="Titillium" w:hAnsi="Titillium" w:cs="Titillium Web"/>
          <w:b/>
          <w:bCs/>
          <w:sz w:val="20"/>
          <w:szCs w:val="20"/>
          <w:u w:val="single"/>
        </w:rPr>
        <w:t xml:space="preserve">Sezione valida per gli incarichi </w:t>
      </w:r>
      <w:bookmarkEnd w:id="0"/>
      <w:r w:rsidR="00854115" w:rsidRPr="00854115">
        <w:rPr>
          <w:rFonts w:ascii="Titillium" w:hAnsi="Titillium" w:cs="Titillium Web"/>
          <w:b/>
          <w:bCs/>
          <w:sz w:val="20"/>
          <w:szCs w:val="20"/>
          <w:u w:val="single"/>
        </w:rPr>
        <w:t>amministrativi di vertice</w:t>
      </w:r>
    </w:p>
    <w:p w:rsidR="00854115" w:rsidRPr="00CE4FDF" w:rsidRDefault="00854115" w:rsidP="00854115">
      <w:pPr>
        <w:pStyle w:val="Paragrafoelenco"/>
        <w:tabs>
          <w:tab w:val="left" w:pos="142"/>
        </w:tabs>
        <w:spacing w:line="360" w:lineRule="auto"/>
        <w:ind w:left="426"/>
        <w:jc w:val="both"/>
        <w:rPr>
          <w:rFonts w:ascii="Titillium" w:hAnsi="Titillium" w:cs="Titillium Web"/>
          <w:b/>
          <w:bCs/>
          <w:sz w:val="12"/>
          <w:szCs w:val="12"/>
          <w:u w:val="single"/>
        </w:rPr>
      </w:pPr>
    </w:p>
    <w:p w:rsidR="00854115" w:rsidRDefault="00854115" w:rsidP="00854115">
      <w:pPr>
        <w:pStyle w:val="Paragrafoelenco"/>
        <w:numPr>
          <w:ilvl w:val="1"/>
          <w:numId w:val="37"/>
        </w:numPr>
        <w:tabs>
          <w:tab w:val="left" w:pos="142"/>
        </w:tabs>
        <w:spacing w:line="360" w:lineRule="auto"/>
        <w:jc w:val="both"/>
        <w:rPr>
          <w:rFonts w:ascii="Titillium" w:hAnsi="Titillium" w:cs="Titillium Web"/>
          <w:b/>
          <w:bCs/>
          <w:i/>
          <w:iCs/>
          <w:sz w:val="20"/>
          <w:szCs w:val="20"/>
        </w:rPr>
      </w:pPr>
      <w:r w:rsidRPr="00CE4FDF">
        <w:rPr>
          <w:rFonts w:ascii="Titillium" w:hAnsi="Titillium" w:cs="Titillium Web"/>
          <w:b/>
          <w:bCs/>
          <w:i/>
          <w:iCs/>
          <w:sz w:val="20"/>
          <w:szCs w:val="20"/>
        </w:rPr>
        <w:t>Incompatibilit</w:t>
      </w:r>
      <w:r w:rsidRPr="00CE4FDF">
        <w:rPr>
          <w:rFonts w:ascii="Titillium" w:hAnsi="Titillium" w:cs="Titillium"/>
          <w:b/>
          <w:bCs/>
          <w:i/>
          <w:iCs/>
          <w:sz w:val="20"/>
          <w:szCs w:val="20"/>
        </w:rPr>
        <w:t>à</w:t>
      </w:r>
      <w:r w:rsidRPr="00CE4FDF">
        <w:rPr>
          <w:rFonts w:ascii="Titillium" w:hAnsi="Titillium" w:cs="Titillium Web"/>
          <w:b/>
          <w:bCs/>
          <w:i/>
          <w:iCs/>
          <w:sz w:val="20"/>
          <w:szCs w:val="20"/>
        </w:rPr>
        <w:t xml:space="preserve"> con lo svolgimento di</w:t>
      </w:r>
      <w:r w:rsidRPr="00CE4FDF">
        <w:rPr>
          <w:rFonts w:ascii="Titillium" w:hAnsi="Titillium" w:cs="Titillium Web"/>
          <w:b/>
          <w:i/>
          <w:iCs/>
          <w:sz w:val="16"/>
          <w:szCs w:val="20"/>
        </w:rPr>
        <w:t xml:space="preserve"> </w:t>
      </w:r>
      <w:r w:rsidRPr="00CE4FDF">
        <w:rPr>
          <w:rFonts w:ascii="Titillium" w:hAnsi="Titillium" w:cs="Titillium Web"/>
          <w:b/>
          <w:bCs/>
          <w:i/>
          <w:iCs/>
          <w:sz w:val="20"/>
          <w:szCs w:val="20"/>
        </w:rPr>
        <w:t>incarichi e cariche in enti di diritto privato regolati o finanziati</w:t>
      </w:r>
      <w:r w:rsidR="00476160">
        <w:rPr>
          <w:rFonts w:ascii="Titillium" w:hAnsi="Titillium" w:cs="Titillium Web"/>
          <w:b/>
          <w:bCs/>
          <w:i/>
          <w:iCs/>
          <w:sz w:val="20"/>
          <w:szCs w:val="20"/>
        </w:rPr>
        <w:t xml:space="preserve"> e</w:t>
      </w:r>
      <w:r w:rsidR="00DB0AC8">
        <w:rPr>
          <w:rFonts w:ascii="Titillium" w:hAnsi="Titillium" w:cs="Titillium Web"/>
          <w:b/>
          <w:bCs/>
          <w:i/>
          <w:iCs/>
          <w:sz w:val="20"/>
          <w:szCs w:val="20"/>
        </w:rPr>
        <w:t>/o</w:t>
      </w:r>
      <w:r w:rsidR="00476160">
        <w:rPr>
          <w:rFonts w:ascii="Titillium" w:hAnsi="Titillium" w:cs="Titillium Web"/>
          <w:b/>
          <w:bCs/>
          <w:i/>
          <w:iCs/>
          <w:sz w:val="20"/>
          <w:szCs w:val="20"/>
        </w:rPr>
        <w:t xml:space="preserve"> </w:t>
      </w:r>
      <w:r w:rsidR="00476160" w:rsidRPr="00CE4FDF">
        <w:rPr>
          <w:rFonts w:ascii="Titillium" w:hAnsi="Titillium" w:cs="Titillium Web"/>
          <w:b/>
          <w:bCs/>
          <w:i/>
          <w:iCs/>
          <w:sz w:val="20"/>
          <w:szCs w:val="20"/>
        </w:rPr>
        <w:t>con lo svolgimento di attivit</w:t>
      </w:r>
      <w:r w:rsidR="00476160" w:rsidRPr="00CE4FDF">
        <w:rPr>
          <w:rFonts w:ascii="Titillium" w:hAnsi="Titillium" w:cs="Titillium"/>
          <w:b/>
          <w:bCs/>
          <w:i/>
          <w:iCs/>
          <w:sz w:val="20"/>
          <w:szCs w:val="20"/>
        </w:rPr>
        <w:t>à</w:t>
      </w:r>
      <w:r w:rsidR="00476160" w:rsidRPr="00CE4FDF">
        <w:rPr>
          <w:rFonts w:ascii="Titillium" w:hAnsi="Titillium" w:cs="Titillium Web"/>
          <w:b/>
          <w:bCs/>
          <w:i/>
          <w:iCs/>
          <w:sz w:val="20"/>
          <w:szCs w:val="20"/>
        </w:rPr>
        <w:t xml:space="preserve"> professionali</w:t>
      </w:r>
      <w:r w:rsidR="00476160" w:rsidRPr="00854115">
        <w:rPr>
          <w:rFonts w:ascii="Titillium" w:hAnsi="Titillium" w:cs="Titillium Web"/>
          <w:b/>
          <w:bCs/>
          <w:sz w:val="20"/>
          <w:szCs w:val="20"/>
        </w:rPr>
        <w:t>:</w:t>
      </w:r>
    </w:p>
    <w:p w:rsidR="00DD7CAD" w:rsidRPr="00CE4FDF" w:rsidRDefault="00DD7CAD" w:rsidP="00DD7CAD">
      <w:pPr>
        <w:pStyle w:val="Paragrafoelenco"/>
        <w:tabs>
          <w:tab w:val="left" w:pos="142"/>
        </w:tabs>
        <w:spacing w:line="360" w:lineRule="auto"/>
        <w:ind w:left="360"/>
        <w:jc w:val="both"/>
        <w:rPr>
          <w:rFonts w:ascii="Titillium" w:hAnsi="Titillium" w:cs="Titillium Web"/>
          <w:b/>
          <w:bCs/>
          <w:i/>
          <w:iCs/>
          <w:sz w:val="20"/>
          <w:szCs w:val="20"/>
        </w:rPr>
      </w:pPr>
    </w:p>
    <w:p w:rsidR="00170C1F" w:rsidRDefault="0096525F" w:rsidP="00020A51">
      <w:pPr>
        <w:pStyle w:val="Paragrafoelenco"/>
        <w:tabs>
          <w:tab w:val="left" w:pos="142"/>
        </w:tabs>
        <w:spacing w:line="360" w:lineRule="auto"/>
        <w:jc w:val="both"/>
        <w:rPr>
          <w:rFonts w:ascii="Titillium" w:hAnsi="Titillium"/>
          <w:sz w:val="20"/>
        </w:rPr>
      </w:pPr>
      <w:r w:rsidRPr="0096525F">
        <w:rPr>
          <w:rFonts w:ascii="Titillium" w:hAnsi="Titillium"/>
          <w:noProof/>
          <w:lang w:eastAsia="it-IT"/>
        </w:rPr>
        <w:pict>
          <v:rect id="Rettangolo 1308574712" o:spid="_x0000_s2059" style="position:absolute;left:0;text-align:left;margin-left:14.25pt;margin-top:5.2pt;width:7.25pt;height: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" fillcolor="white [3212]" strokecolor="#243f60 [1604]" strokeweight="2pt"/>
        </w:pict>
      </w:r>
      <w:r w:rsidR="00854115">
        <w:rPr>
          <w:rFonts w:ascii="Titillium" w:hAnsi="Titillium"/>
          <w:sz w:val="20"/>
        </w:rPr>
        <w:t xml:space="preserve">Insussistenza ipotesi </w:t>
      </w:r>
      <w:r w:rsidR="00854115" w:rsidRPr="006A61AA">
        <w:rPr>
          <w:rFonts w:ascii="Titillium" w:hAnsi="Titillium"/>
          <w:sz w:val="20"/>
        </w:rPr>
        <w:t>art. 9, comm</w:t>
      </w:r>
      <w:r w:rsidR="00476160">
        <w:rPr>
          <w:rFonts w:ascii="Titillium" w:hAnsi="Titillium"/>
          <w:sz w:val="20"/>
        </w:rPr>
        <w:t>i</w:t>
      </w:r>
      <w:r w:rsidR="00854115" w:rsidRPr="006A61AA">
        <w:rPr>
          <w:rFonts w:ascii="Titillium" w:hAnsi="Titillium"/>
          <w:sz w:val="20"/>
        </w:rPr>
        <w:t xml:space="preserve"> </w:t>
      </w:r>
      <w:r w:rsidR="00854115">
        <w:rPr>
          <w:rFonts w:ascii="Titillium" w:hAnsi="Titillium"/>
          <w:sz w:val="20"/>
        </w:rPr>
        <w:t>1</w:t>
      </w:r>
      <w:r w:rsidR="00476160">
        <w:rPr>
          <w:rFonts w:ascii="Titillium" w:hAnsi="Titillium"/>
          <w:sz w:val="20"/>
        </w:rPr>
        <w:t xml:space="preserve"> e 2 </w:t>
      </w:r>
      <w:r w:rsidR="00CE4FDF" w:rsidRPr="006A61AA">
        <w:rPr>
          <w:rStyle w:val="Rimandonotaapidipagina"/>
          <w:rFonts w:ascii="Titillium" w:hAnsi="Titillium"/>
          <w:sz w:val="20"/>
        </w:rPr>
        <w:footnoteReference w:id="3"/>
      </w:r>
      <w:r w:rsidR="00854115" w:rsidRPr="006A61AA">
        <w:rPr>
          <w:rFonts w:ascii="Titillium" w:hAnsi="Titillium"/>
          <w:sz w:val="20"/>
        </w:rPr>
        <w:t>, del d.lgs. n. 39/2013</w:t>
      </w:r>
    </w:p>
    <w:p w:rsidR="00020A51" w:rsidRPr="00020A51" w:rsidRDefault="00020A51" w:rsidP="00020A51">
      <w:pPr>
        <w:pStyle w:val="Paragrafoelenco"/>
        <w:tabs>
          <w:tab w:val="left" w:pos="142"/>
        </w:tabs>
        <w:spacing w:line="360" w:lineRule="auto"/>
        <w:jc w:val="both"/>
        <w:rPr>
          <w:rFonts w:ascii="Titillium" w:hAnsi="Titillium"/>
          <w:sz w:val="20"/>
        </w:rPr>
      </w:pPr>
    </w:p>
    <w:p w:rsidR="00501D92" w:rsidRPr="00DB0AC8" w:rsidRDefault="00501D92" w:rsidP="00DB0AC8">
      <w:pPr>
        <w:pStyle w:val="Paragrafoelenco"/>
        <w:numPr>
          <w:ilvl w:val="1"/>
          <w:numId w:val="37"/>
        </w:numPr>
        <w:jc w:val="both"/>
        <w:rPr>
          <w:rFonts w:ascii="Titillium" w:hAnsi="Titillium"/>
          <w:i/>
          <w:iCs/>
          <w:sz w:val="20"/>
        </w:rPr>
      </w:pPr>
      <w:r w:rsidRPr="00DB0AC8">
        <w:rPr>
          <w:rFonts w:ascii="Titillium" w:hAnsi="Titillium"/>
          <w:b/>
          <w:bCs/>
          <w:i/>
          <w:iCs/>
          <w:sz w:val="20"/>
        </w:rPr>
        <w:lastRenderedPageBreak/>
        <w:t>Incompatibilità con le cariche di componenti degli organi di indirizzo politico nelle amministrazioni statali, regionali e locali:</w:t>
      </w:r>
    </w:p>
    <w:p w:rsidR="00501D92" w:rsidRPr="007D5305" w:rsidRDefault="00170C1F" w:rsidP="007D5305">
      <w:pPr>
        <w:pStyle w:val="Paragrafoelenco"/>
        <w:numPr>
          <w:ilvl w:val="0"/>
          <w:numId w:val="29"/>
        </w:numPr>
        <w:ind w:left="709" w:hanging="283"/>
        <w:contextualSpacing w:val="0"/>
        <w:jc w:val="both"/>
        <w:rPr>
          <w:rFonts w:ascii="Titillium" w:hAnsi="Titillium"/>
          <w:sz w:val="20"/>
        </w:rPr>
      </w:pPr>
      <w:bookmarkStart w:id="1" w:name="_Hlk178075885"/>
      <w:r w:rsidRPr="00170C1F">
        <w:rPr>
          <w:rFonts w:ascii="Titillium" w:hAnsi="Titillium"/>
          <w:sz w:val="20"/>
        </w:rPr>
        <w:t xml:space="preserve">Insussistenza </w:t>
      </w:r>
      <w:r w:rsidR="0096525F" w:rsidRPr="0096525F">
        <w:rPr>
          <w:rFonts w:ascii="Titillium" w:hAnsi="Titillium"/>
          <w:noProof/>
          <w:lang w:eastAsia="it-IT"/>
        </w:rPr>
        <w:pict>
          <v:rect id="Rettangolo 12741748" o:spid="_x0000_s2058" style="position:absolute;left:0;text-align:left;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bookmarkEnd w:id="1"/>
      <w:r w:rsidR="00501D92" w:rsidRPr="006A61AA">
        <w:rPr>
          <w:rFonts w:ascii="Titillium" w:hAnsi="Titillium"/>
          <w:sz w:val="20"/>
        </w:rPr>
        <w:t>art. 1</w:t>
      </w:r>
      <w:r w:rsidR="007C0B65">
        <w:rPr>
          <w:rFonts w:ascii="Titillium" w:hAnsi="Titillium"/>
          <w:sz w:val="20"/>
        </w:rPr>
        <w:t>1</w:t>
      </w:r>
      <w:r w:rsidR="00501D92" w:rsidRPr="006A61AA">
        <w:rPr>
          <w:rFonts w:ascii="Titillium" w:hAnsi="Titillium"/>
          <w:sz w:val="20"/>
        </w:rPr>
        <w:t>, comm</w:t>
      </w:r>
      <w:r w:rsidR="00501D92">
        <w:rPr>
          <w:rFonts w:ascii="Titillium" w:hAnsi="Titillium"/>
          <w:sz w:val="20"/>
        </w:rPr>
        <w:t>a 1</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p>
    <w:p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0096525F" w:rsidRPr="0096525F">
        <w:rPr>
          <w:rFonts w:ascii="Titillium" w:hAnsi="Titillium"/>
          <w:noProof/>
          <w:lang w:eastAsia="it-IT"/>
        </w:rPr>
        <w:pict>
          <v:rect id="Rettangolo 455898790" o:spid="_x0000_s2057" style="position:absolute;left:0;text-align:left;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501D92">
        <w:rPr>
          <w:rFonts w:ascii="Titillium" w:hAnsi="Titillium"/>
          <w:sz w:val="20"/>
        </w:rPr>
        <w:t>art. 1</w:t>
      </w:r>
      <w:r w:rsidR="007C0B65">
        <w:rPr>
          <w:rFonts w:ascii="Titillium" w:hAnsi="Titillium"/>
          <w:sz w:val="20"/>
        </w:rPr>
        <w:t>1</w:t>
      </w:r>
      <w:r w:rsidR="00501D92">
        <w:rPr>
          <w:rFonts w:ascii="Titillium" w:hAnsi="Titillium"/>
          <w:sz w:val="20"/>
        </w:rPr>
        <w:t>, comma 2</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w:t>
      </w:r>
      <w:r w:rsidR="007C0B65">
        <w:rPr>
          <w:rFonts w:ascii="Titillium" w:hAnsi="Titillium"/>
          <w:sz w:val="20"/>
        </w:rPr>
        <w:t>nelle amministrazioni regionali</w:t>
      </w:r>
      <w:r w:rsidR="002D61F7">
        <w:rPr>
          <w:rFonts w:ascii="Titillium" w:hAnsi="Titillium"/>
          <w:sz w:val="20"/>
        </w:rPr>
        <w:t>;</w:t>
      </w:r>
    </w:p>
    <w:p w:rsidR="00170C1F" w:rsidRDefault="00170C1F" w:rsidP="005254C6">
      <w:pPr>
        <w:pStyle w:val="Paragrafoelenco"/>
        <w:numPr>
          <w:ilvl w:val="0"/>
          <w:numId w:val="29"/>
        </w:numPr>
        <w:ind w:left="709" w:hanging="283"/>
        <w:contextualSpacing w:val="0"/>
        <w:jc w:val="both"/>
        <w:rPr>
          <w:rFonts w:ascii="Titillium" w:hAnsi="Titillium"/>
          <w:sz w:val="20"/>
        </w:rPr>
      </w:pPr>
      <w:r w:rsidRPr="007C0B65">
        <w:rPr>
          <w:rFonts w:ascii="Titillium" w:hAnsi="Titillium"/>
          <w:sz w:val="20"/>
        </w:rPr>
        <w:t xml:space="preserve">Insussistenza </w:t>
      </w:r>
      <w:r w:rsidR="0096525F" w:rsidRPr="0096525F">
        <w:rPr>
          <w:rFonts w:ascii="Titillium" w:hAnsi="Titillium"/>
          <w:noProof/>
          <w:lang w:eastAsia="it-IT"/>
        </w:rPr>
        <w:pict>
          <v:rect id="Rettangolo 422108012" o:spid="_x0000_s2056" style="position:absolute;left:0;text-align:left;margin-left:22.5pt;margin-top:2.6pt;width:7.25pt;height:8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sidRPr="007C0B65">
        <w:rPr>
          <w:rFonts w:ascii="Titillium" w:hAnsi="Titillium"/>
          <w:sz w:val="20"/>
        </w:rPr>
        <w:t xml:space="preserve">ipotesi </w:t>
      </w:r>
      <w:r w:rsidR="0096525F" w:rsidRPr="0096525F">
        <w:rPr>
          <w:rFonts w:ascii="Titillium" w:hAnsi="Titillium"/>
          <w:noProof/>
          <w:lang w:eastAsia="it-IT"/>
        </w:rPr>
        <w:pict>
          <v:rect id="Rettangolo 1507185719" o:spid="_x0000_s2055" style="position:absolute;left:0;text-align:left;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w:r>
      <w:r w:rsidR="00501D92" w:rsidRPr="007C0B65">
        <w:rPr>
          <w:rFonts w:ascii="Titillium" w:hAnsi="Titillium"/>
          <w:sz w:val="20"/>
        </w:rPr>
        <w:t>art. 1</w:t>
      </w:r>
      <w:r w:rsidR="007C0B65" w:rsidRPr="007C0B65">
        <w:rPr>
          <w:rFonts w:ascii="Titillium" w:hAnsi="Titillium"/>
          <w:sz w:val="20"/>
        </w:rPr>
        <w:t>1</w:t>
      </w:r>
      <w:r w:rsidR="00501D92" w:rsidRPr="007C0B65">
        <w:rPr>
          <w:rFonts w:ascii="Titillium" w:hAnsi="Titillium"/>
          <w:sz w:val="20"/>
        </w:rPr>
        <w:t>, comma 3</w:t>
      </w:r>
      <w:r w:rsidR="00501D92">
        <w:rPr>
          <w:rStyle w:val="Rimandonotaapidipagina"/>
          <w:rFonts w:ascii="Titillium" w:hAnsi="Titillium"/>
          <w:sz w:val="20"/>
        </w:rPr>
        <w:footnoteReference w:id="6"/>
      </w:r>
      <w:r w:rsidR="00501D92" w:rsidRPr="007C0B65">
        <w:rPr>
          <w:rFonts w:ascii="Titillium" w:hAnsi="Titillium"/>
          <w:sz w:val="20"/>
        </w:rPr>
        <w:t xml:space="preserve">, del d.lgs. n. 39/2013 </w:t>
      </w:r>
      <w:r w:rsidR="002D61F7" w:rsidRPr="007C0B65">
        <w:rPr>
          <w:rFonts w:ascii="Titillium" w:hAnsi="Titillium"/>
          <w:sz w:val="20"/>
        </w:rPr>
        <w:t xml:space="preserve">se l’incarico si riveste </w:t>
      </w:r>
      <w:r w:rsidR="007C0B65" w:rsidRPr="007C0B65">
        <w:rPr>
          <w:rFonts w:ascii="Titillium" w:hAnsi="Titillium"/>
          <w:sz w:val="20"/>
        </w:rPr>
        <w:t>nelle amministrazioni di una provincia, di un comune con popolazione superiore ai 15.000 abitanti o di una forma associativa tra comuni avente la medesima popolazione</w:t>
      </w:r>
    </w:p>
    <w:p w:rsidR="006954A7" w:rsidRPr="00CE4FDF" w:rsidRDefault="006954A7" w:rsidP="006954A7">
      <w:pPr>
        <w:pStyle w:val="Paragrafoelenco"/>
        <w:ind w:left="709"/>
        <w:contextualSpacing w:val="0"/>
        <w:jc w:val="both"/>
        <w:rPr>
          <w:rFonts w:ascii="Titillium" w:hAnsi="Titillium"/>
          <w:sz w:val="12"/>
          <w:szCs w:val="14"/>
        </w:rPr>
      </w:pPr>
    </w:p>
    <w:p w:rsidR="002D61F7" w:rsidRPr="00FA0C50" w:rsidRDefault="00170C1F" w:rsidP="00DB0AC8">
      <w:pPr>
        <w:pStyle w:val="Paragrafoelenco"/>
        <w:numPr>
          <w:ilvl w:val="0"/>
          <w:numId w:val="37"/>
        </w:numPr>
        <w:tabs>
          <w:tab w:val="left" w:pos="142"/>
        </w:tabs>
        <w:spacing w:line="360" w:lineRule="auto"/>
        <w:jc w:val="both"/>
        <w:rPr>
          <w:rFonts w:ascii="Titillium" w:hAnsi="Titillium" w:cs="Titillium Web"/>
          <w:b/>
          <w:bCs/>
          <w:sz w:val="20"/>
          <w:szCs w:val="20"/>
          <w:u w:val="single"/>
        </w:rPr>
      </w:pPr>
      <w:r w:rsidRPr="00FA0C50">
        <w:rPr>
          <w:rFonts w:ascii="Titillium" w:hAnsi="Titillium" w:cs="Titillium Web"/>
          <w:b/>
          <w:bCs/>
          <w:sz w:val="20"/>
          <w:szCs w:val="20"/>
          <w:u w:val="single"/>
        </w:rPr>
        <w:t xml:space="preserve">Sezione valida per gli incarichi di </w:t>
      </w:r>
      <w:r w:rsidR="002D61F7" w:rsidRPr="00FA0C50">
        <w:rPr>
          <w:rFonts w:ascii="Titillium" w:hAnsi="Titillium" w:cs="Titillium Web"/>
          <w:b/>
          <w:bCs/>
          <w:sz w:val="20"/>
          <w:szCs w:val="20"/>
          <w:u w:val="single"/>
        </w:rPr>
        <w:t>Dirigent</w:t>
      </w:r>
      <w:r w:rsidRPr="00FA0C50">
        <w:rPr>
          <w:rFonts w:ascii="Titillium" w:hAnsi="Titillium" w:cs="Titillium Web"/>
          <w:b/>
          <w:bCs/>
          <w:sz w:val="20"/>
          <w:szCs w:val="20"/>
          <w:u w:val="single"/>
        </w:rPr>
        <w:t>e</w:t>
      </w:r>
      <w:r w:rsidR="002D61F7" w:rsidRPr="00FA0C50">
        <w:rPr>
          <w:rFonts w:ascii="Titillium" w:hAnsi="Titillium" w:cs="Titillium Web"/>
          <w:b/>
          <w:bCs/>
          <w:sz w:val="20"/>
          <w:szCs w:val="20"/>
          <w:u w:val="single"/>
        </w:rPr>
        <w:t xml:space="preserve"> estern</w:t>
      </w:r>
      <w:r w:rsidRPr="00FA0C50">
        <w:rPr>
          <w:rFonts w:ascii="Titillium" w:hAnsi="Titillium" w:cs="Titillium Web"/>
          <w:b/>
          <w:bCs/>
          <w:sz w:val="20"/>
          <w:szCs w:val="20"/>
          <w:u w:val="single"/>
        </w:rPr>
        <w:t>o</w:t>
      </w:r>
      <w:r w:rsidR="002D61F7" w:rsidRPr="00FA0C50">
        <w:rPr>
          <w:rFonts w:ascii="Titillium" w:hAnsi="Titillium" w:cs="Titillium Web"/>
          <w:b/>
          <w:bCs/>
          <w:sz w:val="20"/>
          <w:szCs w:val="20"/>
          <w:u w:val="single"/>
        </w:rPr>
        <w:t xml:space="preserve"> e intern</w:t>
      </w:r>
      <w:r w:rsidRPr="00FA0C50">
        <w:rPr>
          <w:rFonts w:ascii="Titillium" w:hAnsi="Titillium" w:cs="Titillium Web"/>
          <w:b/>
          <w:bCs/>
          <w:sz w:val="20"/>
          <w:szCs w:val="20"/>
          <w:u w:val="single"/>
        </w:rPr>
        <w:t>o</w:t>
      </w:r>
      <w:r w:rsidR="002D61F7" w:rsidRPr="00FA0C50">
        <w:rPr>
          <w:rFonts w:ascii="Titillium" w:hAnsi="Titillium" w:cs="Titillium Web"/>
          <w:b/>
          <w:bCs/>
          <w:sz w:val="20"/>
          <w:szCs w:val="20"/>
          <w:u w:val="single"/>
        </w:rPr>
        <w:t xml:space="preserve"> </w:t>
      </w:r>
    </w:p>
    <w:p w:rsidR="00686A84" w:rsidRPr="00CE4FDF" w:rsidRDefault="00686A84" w:rsidP="00686A84">
      <w:pPr>
        <w:pStyle w:val="Paragrafoelenco"/>
        <w:tabs>
          <w:tab w:val="left" w:pos="142"/>
        </w:tabs>
        <w:spacing w:line="360" w:lineRule="auto"/>
        <w:ind w:left="360"/>
        <w:jc w:val="both"/>
        <w:rPr>
          <w:rFonts w:ascii="Titillium" w:hAnsi="Titillium" w:cs="Titillium Web"/>
          <w:b/>
          <w:bCs/>
          <w:sz w:val="12"/>
          <w:szCs w:val="12"/>
          <w:u w:val="single"/>
        </w:rPr>
      </w:pPr>
    </w:p>
    <w:p w:rsidR="00686A84" w:rsidRPr="00DB0AC8" w:rsidRDefault="00686A84" w:rsidP="00686A84">
      <w:pPr>
        <w:pStyle w:val="Paragrafoelenco"/>
        <w:numPr>
          <w:ilvl w:val="1"/>
          <w:numId w:val="39"/>
        </w:numPr>
        <w:tabs>
          <w:tab w:val="left" w:pos="142"/>
        </w:tabs>
        <w:spacing w:line="360" w:lineRule="auto"/>
        <w:jc w:val="both"/>
        <w:rPr>
          <w:rFonts w:ascii="Titillium" w:hAnsi="Titillium" w:cs="Titillium Web"/>
          <w:b/>
          <w:bCs/>
          <w:i/>
          <w:iCs/>
          <w:sz w:val="20"/>
          <w:szCs w:val="20"/>
        </w:rPr>
      </w:pPr>
      <w:r w:rsidRPr="00DB0AC8">
        <w:rPr>
          <w:rFonts w:ascii="Titillium" w:hAnsi="Titillium" w:cs="Titillium Web"/>
          <w:b/>
          <w:bCs/>
          <w:i/>
          <w:iCs/>
          <w:sz w:val="20"/>
          <w:szCs w:val="20"/>
        </w:rPr>
        <w:t>Incompatibilit</w:t>
      </w:r>
      <w:r w:rsidRPr="00DB0AC8">
        <w:rPr>
          <w:rFonts w:ascii="Titillium" w:hAnsi="Titillium" w:cs="Titillium"/>
          <w:b/>
          <w:bCs/>
          <w:i/>
          <w:iCs/>
          <w:sz w:val="20"/>
          <w:szCs w:val="20"/>
        </w:rPr>
        <w:t>à</w:t>
      </w:r>
      <w:r w:rsidRPr="00DB0AC8">
        <w:rPr>
          <w:rFonts w:ascii="Titillium" w:hAnsi="Titillium" w:cs="Titillium Web"/>
          <w:b/>
          <w:bCs/>
          <w:i/>
          <w:iCs/>
          <w:sz w:val="20"/>
          <w:szCs w:val="20"/>
        </w:rPr>
        <w:t xml:space="preserve"> con lo svolgimento di</w:t>
      </w:r>
      <w:r w:rsidRPr="00DB0AC8">
        <w:rPr>
          <w:rFonts w:ascii="Titillium" w:hAnsi="Titillium" w:cs="Titillium Web"/>
          <w:b/>
          <w:i/>
          <w:iCs/>
          <w:sz w:val="16"/>
          <w:szCs w:val="20"/>
        </w:rPr>
        <w:t xml:space="preserve"> </w:t>
      </w:r>
      <w:r w:rsidRPr="00DB0AC8">
        <w:rPr>
          <w:rFonts w:ascii="Titillium" w:hAnsi="Titillium" w:cs="Titillium Web"/>
          <w:b/>
          <w:bCs/>
          <w:i/>
          <w:iCs/>
          <w:sz w:val="20"/>
          <w:szCs w:val="20"/>
        </w:rPr>
        <w:t>incarichi e cariche in enti di diritto privato regolati o finanziati</w:t>
      </w:r>
      <w:r w:rsidR="00DB0AC8" w:rsidRPr="00DB0AC8">
        <w:rPr>
          <w:rFonts w:ascii="Titillium" w:hAnsi="Titillium" w:cs="Titillium Web"/>
          <w:b/>
          <w:bCs/>
          <w:i/>
          <w:iCs/>
          <w:sz w:val="20"/>
          <w:szCs w:val="20"/>
        </w:rPr>
        <w:t xml:space="preserve"> e/o</w:t>
      </w:r>
      <w:r w:rsidR="00DB0AC8" w:rsidRPr="00DB0AC8">
        <w:rPr>
          <w:rFonts w:ascii="Titillium" w:hAnsi="Titillium" w:cs="Titillium Web"/>
          <w:b/>
          <w:bCs/>
          <w:sz w:val="20"/>
          <w:szCs w:val="20"/>
        </w:rPr>
        <w:t xml:space="preserve"> </w:t>
      </w:r>
      <w:r w:rsidR="00DB0AC8" w:rsidRPr="00DB0AC8">
        <w:rPr>
          <w:rFonts w:ascii="Titillium" w:hAnsi="Titillium" w:cs="Titillium Web"/>
          <w:b/>
          <w:bCs/>
          <w:i/>
          <w:iCs/>
          <w:sz w:val="20"/>
          <w:szCs w:val="20"/>
        </w:rPr>
        <w:t>con lo svolgimento di attivit</w:t>
      </w:r>
      <w:r w:rsidR="00DB0AC8" w:rsidRPr="00DB0AC8">
        <w:rPr>
          <w:rFonts w:ascii="Titillium" w:hAnsi="Titillium" w:cs="Titillium"/>
          <w:b/>
          <w:bCs/>
          <w:i/>
          <w:iCs/>
          <w:sz w:val="20"/>
          <w:szCs w:val="20"/>
        </w:rPr>
        <w:t>à</w:t>
      </w:r>
      <w:r w:rsidR="00DB0AC8" w:rsidRPr="00DB0AC8">
        <w:rPr>
          <w:rFonts w:ascii="Titillium" w:hAnsi="Titillium" w:cs="Titillium Web"/>
          <w:b/>
          <w:bCs/>
          <w:i/>
          <w:iCs/>
          <w:sz w:val="20"/>
          <w:szCs w:val="20"/>
        </w:rPr>
        <w:t xml:space="preserve"> professionali</w:t>
      </w:r>
    </w:p>
    <w:p w:rsidR="00686A84" w:rsidRDefault="0096525F" w:rsidP="00686A84">
      <w:pPr>
        <w:pStyle w:val="Paragrafoelenco"/>
        <w:tabs>
          <w:tab w:val="left" w:pos="142"/>
        </w:tabs>
        <w:spacing w:line="360" w:lineRule="auto"/>
        <w:ind w:left="709"/>
        <w:jc w:val="both"/>
        <w:rPr>
          <w:rFonts w:ascii="Titillium" w:hAnsi="Titillium"/>
          <w:sz w:val="20"/>
        </w:rPr>
      </w:pPr>
      <w:r w:rsidRPr="0096525F">
        <w:rPr>
          <w:rFonts w:ascii="Titillium" w:hAnsi="Titillium"/>
          <w:noProof/>
          <w:lang w:eastAsia="it-IT"/>
        </w:rPr>
        <w:pict>
          <v:rect id="Rettangolo 743056001" o:spid="_x0000_s2054" style="position:absolute;left:0;text-align:left;margin-left:17.25pt;margin-top:2.95pt;width:7.25pt;height: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" fillcolor="white [3212]" strokecolor="#243f60 [1604]" strokeweight="2pt"/>
        </w:pict>
      </w:r>
      <w:r w:rsidR="00686A84">
        <w:rPr>
          <w:rFonts w:ascii="Titillium" w:hAnsi="Titillium"/>
          <w:sz w:val="20"/>
        </w:rPr>
        <w:t xml:space="preserve">Insussistenza ipotesi </w:t>
      </w:r>
      <w:r w:rsidR="00686A84" w:rsidRPr="006A61AA">
        <w:rPr>
          <w:rFonts w:ascii="Titillium" w:hAnsi="Titillium"/>
          <w:sz w:val="20"/>
        </w:rPr>
        <w:t xml:space="preserve">art. 9, comma </w:t>
      </w:r>
      <w:r w:rsidR="00686A84">
        <w:rPr>
          <w:rFonts w:ascii="Titillium" w:hAnsi="Titillium"/>
          <w:sz w:val="20"/>
        </w:rPr>
        <w:t>1</w:t>
      </w:r>
      <w:r w:rsidR="00DB0AC8">
        <w:rPr>
          <w:rFonts w:ascii="Titillium" w:hAnsi="Titillium"/>
          <w:sz w:val="20"/>
        </w:rPr>
        <w:t xml:space="preserve"> e 2 </w:t>
      </w:r>
      <w:r w:rsidR="00DB0AC8">
        <w:rPr>
          <w:rStyle w:val="Rimandonotaapidipagina"/>
          <w:rFonts w:ascii="Titillium" w:hAnsi="Titillium"/>
          <w:sz w:val="20"/>
        </w:rPr>
        <w:footnoteReference w:id="7"/>
      </w:r>
      <w:r w:rsidR="00DB0AC8" w:rsidRPr="006A61AA">
        <w:rPr>
          <w:rFonts w:ascii="Titillium" w:hAnsi="Titillium"/>
          <w:sz w:val="20"/>
        </w:rPr>
        <w:t xml:space="preserve"> </w:t>
      </w:r>
      <w:r w:rsidR="00DB0AC8">
        <w:rPr>
          <w:rFonts w:ascii="Titillium" w:hAnsi="Titillium"/>
          <w:sz w:val="20"/>
        </w:rPr>
        <w:t xml:space="preserve"> </w:t>
      </w:r>
      <w:r w:rsidR="00686A84" w:rsidRPr="006A61AA">
        <w:rPr>
          <w:rFonts w:ascii="Titillium" w:hAnsi="Titillium"/>
          <w:sz w:val="20"/>
        </w:rPr>
        <w:t>,</w:t>
      </w:r>
      <w:r w:rsidR="00DB0AC8" w:rsidRPr="00DB0AC8">
        <w:rPr>
          <w:rStyle w:val="Rimandonotaapidipagina"/>
          <w:rFonts w:ascii="Titillium" w:hAnsi="Titillium"/>
          <w:sz w:val="20"/>
        </w:rPr>
        <w:t xml:space="preserve"> </w:t>
      </w:r>
      <w:r w:rsidR="00686A84" w:rsidRPr="006A61AA">
        <w:rPr>
          <w:rFonts w:ascii="Titillium" w:hAnsi="Titillium"/>
          <w:sz w:val="20"/>
        </w:rPr>
        <w:t>del d.lgs. n. 39/2013</w:t>
      </w:r>
      <w:r w:rsidR="00CE4FDF">
        <w:rPr>
          <w:rFonts w:ascii="Titillium" w:hAnsi="Titillium"/>
          <w:sz w:val="20"/>
        </w:rPr>
        <w:t>;</w:t>
      </w:r>
    </w:p>
    <w:p w:rsidR="00FA0C50" w:rsidRDefault="00FA0C50" w:rsidP="00686A84">
      <w:pPr>
        <w:pStyle w:val="Paragrafoelenco"/>
        <w:tabs>
          <w:tab w:val="left" w:pos="142"/>
        </w:tabs>
        <w:spacing w:line="360" w:lineRule="auto"/>
        <w:ind w:left="709"/>
        <w:jc w:val="both"/>
        <w:rPr>
          <w:rFonts w:ascii="Titillium" w:hAnsi="Titillium"/>
          <w:sz w:val="20"/>
        </w:rPr>
      </w:pPr>
    </w:p>
    <w:p w:rsidR="00686A84" w:rsidRPr="006F4F14" w:rsidRDefault="00FA0C50" w:rsidP="00FA0C50">
      <w:pPr>
        <w:pStyle w:val="Paragrafoelenco"/>
        <w:numPr>
          <w:ilvl w:val="0"/>
          <w:numId w:val="37"/>
        </w:numPr>
        <w:tabs>
          <w:tab w:val="left" w:pos="142"/>
        </w:tabs>
        <w:spacing w:line="360" w:lineRule="auto"/>
        <w:jc w:val="both"/>
        <w:rPr>
          <w:rFonts w:ascii="Titillium" w:hAnsi="Titillium"/>
          <w:sz w:val="12"/>
          <w:szCs w:val="14"/>
        </w:rPr>
      </w:pPr>
      <w:r w:rsidRPr="006F4F14">
        <w:rPr>
          <w:rFonts w:ascii="Titillium" w:hAnsi="Titillium" w:cs="Titillium Web"/>
          <w:b/>
          <w:bCs/>
          <w:sz w:val="20"/>
          <w:szCs w:val="20"/>
          <w:u w:val="single"/>
        </w:rPr>
        <w:t>Sezione valida per gli incarichi di Dirigente esterno</w:t>
      </w:r>
      <w:r w:rsidRPr="006F4F14">
        <w:rPr>
          <w:rStyle w:val="Rimandonotaapidipagina"/>
          <w:rFonts w:ascii="Titillium" w:hAnsi="Titillium" w:cs="Titillium Web"/>
          <w:b/>
          <w:bCs/>
          <w:sz w:val="20"/>
          <w:szCs w:val="20"/>
          <w:u w:val="single"/>
        </w:rPr>
        <w:footnoteReference w:id="8"/>
      </w:r>
    </w:p>
    <w:p w:rsidR="00111623" w:rsidRPr="00111623" w:rsidRDefault="00B91ED9" w:rsidP="00111623">
      <w:pPr>
        <w:pStyle w:val="Paragrafoelenco"/>
        <w:numPr>
          <w:ilvl w:val="1"/>
          <w:numId w:val="40"/>
        </w:numPr>
        <w:tabs>
          <w:tab w:val="left" w:pos="142"/>
        </w:tabs>
        <w:spacing w:line="360" w:lineRule="auto"/>
        <w:jc w:val="both"/>
        <w:rPr>
          <w:rFonts w:ascii="Titillium" w:hAnsi="Titillium"/>
          <w:b/>
          <w:bCs/>
          <w:i/>
          <w:iCs/>
          <w:sz w:val="20"/>
          <w:u w:val="single"/>
        </w:rPr>
      </w:pPr>
      <w:r w:rsidRPr="00FA0C50">
        <w:rPr>
          <w:rFonts w:ascii="Titillium" w:hAnsi="Titillium"/>
          <w:b/>
          <w:bCs/>
          <w:i/>
          <w:iCs/>
          <w:sz w:val="20"/>
        </w:rPr>
        <w:t xml:space="preserve">Incompatibilità </w:t>
      </w:r>
      <w:r w:rsidR="002D61F7" w:rsidRPr="00FA0C50">
        <w:rPr>
          <w:rFonts w:ascii="Titillium" w:hAnsi="Titillium"/>
          <w:b/>
          <w:bCs/>
          <w:i/>
          <w:iCs/>
          <w:sz w:val="20"/>
        </w:rPr>
        <w:t>con le</w:t>
      </w:r>
      <w:r w:rsidRPr="00FA0C50">
        <w:rPr>
          <w:rFonts w:ascii="Titillium" w:hAnsi="Titillium"/>
          <w:b/>
          <w:bCs/>
          <w:i/>
          <w:iCs/>
          <w:sz w:val="20"/>
        </w:rPr>
        <w:t xml:space="preserve"> cariche di componenti degli organi di indirizzo nelle amministrazioni statali, regionali e locali</w:t>
      </w:r>
      <w:r w:rsidR="00501D92" w:rsidRPr="00FA0C50">
        <w:rPr>
          <w:rFonts w:ascii="Titillium" w:hAnsi="Titillium"/>
          <w:b/>
          <w:bCs/>
          <w:i/>
          <w:iCs/>
          <w:sz w:val="20"/>
        </w:rPr>
        <w:t xml:space="preserve"> </w:t>
      </w:r>
      <w:r w:rsidR="006666EA">
        <w:rPr>
          <w:rFonts w:ascii="Titillium" w:hAnsi="Titillium"/>
          <w:b/>
          <w:bCs/>
          <w:i/>
          <w:iCs/>
          <w:sz w:val="20"/>
        </w:rPr>
        <w:t>(N.B. si tenga conto dell’esimente di cui al</w:t>
      </w:r>
      <w:r w:rsidR="00111623" w:rsidRPr="00111623">
        <w:rPr>
          <w:rFonts w:ascii="Titillium" w:hAnsi="Titillium"/>
          <w:b/>
          <w:bCs/>
          <w:i/>
          <w:iCs/>
          <w:sz w:val="20"/>
        </w:rPr>
        <w:t>l’art. 12, comma 4 – bis</w:t>
      </w:r>
      <w:r w:rsidR="006666EA">
        <w:rPr>
          <w:rFonts w:ascii="Titillium" w:hAnsi="Titillium"/>
          <w:b/>
          <w:bCs/>
          <w:i/>
          <w:iCs/>
          <w:sz w:val="20"/>
        </w:rPr>
        <w:t>,</w:t>
      </w:r>
      <w:r w:rsidR="00111623" w:rsidRPr="00111623">
        <w:rPr>
          <w:rFonts w:ascii="Titillium" w:hAnsi="Titillium"/>
          <w:b/>
          <w:bCs/>
          <w:i/>
          <w:iCs/>
          <w:sz w:val="20"/>
        </w:rPr>
        <w:t xml:space="preserve"> del d.lgs. n. 39/2013</w:t>
      </w:r>
      <w:r w:rsidR="006666EA">
        <w:rPr>
          <w:rFonts w:ascii="Titillium" w:hAnsi="Titillium"/>
          <w:b/>
          <w:bCs/>
          <w:i/>
          <w:iCs/>
          <w:sz w:val="20"/>
        </w:rPr>
        <w:t>)</w:t>
      </w:r>
    </w:p>
    <w:p w:rsidR="00B91ED9" w:rsidRPr="00FA0C50" w:rsidRDefault="00B91ED9" w:rsidP="00111623">
      <w:pPr>
        <w:pStyle w:val="Paragrafoelenco"/>
        <w:tabs>
          <w:tab w:val="left" w:pos="142"/>
        </w:tabs>
        <w:spacing w:line="360" w:lineRule="auto"/>
        <w:ind w:left="360"/>
        <w:jc w:val="both"/>
        <w:rPr>
          <w:rFonts w:ascii="Titillium" w:hAnsi="Titillium" w:cs="Titillium Web"/>
          <w:b/>
          <w:bCs/>
          <w:i/>
          <w:iCs/>
          <w:sz w:val="20"/>
          <w:szCs w:val="20"/>
          <w:u w:val="single"/>
        </w:rPr>
      </w:pPr>
    </w:p>
    <w:p w:rsidR="00B91ED9" w:rsidRPr="00CE4FDF" w:rsidRDefault="00B91ED9" w:rsidP="002D61F7">
      <w:pPr>
        <w:pStyle w:val="Paragrafoelenco"/>
        <w:ind w:left="142"/>
        <w:jc w:val="both"/>
        <w:rPr>
          <w:rFonts w:ascii="Titillium" w:hAnsi="Titillium"/>
          <w:sz w:val="12"/>
          <w:szCs w:val="14"/>
        </w:rPr>
      </w:pPr>
    </w:p>
    <w:p w:rsidR="00501D92" w:rsidRDefault="00170C1F" w:rsidP="00020A51">
      <w:pPr>
        <w:pStyle w:val="Paragrafoelenco"/>
        <w:jc w:val="both"/>
        <w:rPr>
          <w:rFonts w:ascii="Titillium" w:hAnsi="Titillium"/>
          <w:sz w:val="20"/>
        </w:rPr>
      </w:pPr>
      <w:r w:rsidRPr="00170C1F">
        <w:rPr>
          <w:rFonts w:ascii="Titillium" w:hAnsi="Titillium"/>
          <w:sz w:val="20"/>
        </w:rPr>
        <w:t xml:space="preserve">Insussistenza </w:t>
      </w:r>
      <w:r w:rsidR="0096525F" w:rsidRPr="0096525F">
        <w:rPr>
          <w:rFonts w:ascii="Titillium" w:hAnsi="Titillium"/>
          <w:noProof/>
          <w:lang w:eastAsia="it-IT"/>
        </w:rPr>
        <w:pict>
          <v:rect id="Rettangolo 1370966151" o:spid="_x0000_s2053" style="position:absolute;left:0;text-align:left;margin-left:22.5pt;margin-top:2.6pt;width:7.25pt;height:8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CE4FDF">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rsidR="00020A51" w:rsidRPr="00020A51" w:rsidRDefault="00020A51" w:rsidP="00020A51">
      <w:pPr>
        <w:pStyle w:val="Paragrafoelenco"/>
        <w:jc w:val="both"/>
        <w:rPr>
          <w:rFonts w:ascii="Titillium" w:hAnsi="Titillium"/>
          <w:sz w:val="20"/>
        </w:rPr>
      </w:pPr>
    </w:p>
    <w:p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0096525F" w:rsidRPr="0096525F">
        <w:rPr>
          <w:rFonts w:ascii="Titillium" w:hAnsi="Titillium"/>
          <w:noProof/>
          <w:lang w:eastAsia="it-IT"/>
        </w:rPr>
        <w:pict>
          <v:rect id="Rettangolo 1101825629" o:spid="_x0000_s2052" style="position:absolute;left:0;text-align:left;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Pr>
          <w:rFonts w:ascii="Titillium" w:hAnsi="Titillium"/>
          <w:sz w:val="20"/>
        </w:rPr>
        <w:t>;</w:t>
      </w:r>
    </w:p>
    <w:p w:rsidR="0075022F" w:rsidRPr="00CE4FDF" w:rsidRDefault="0075022F" w:rsidP="0075022F">
      <w:pPr>
        <w:pStyle w:val="Paragrafoelenco"/>
        <w:ind w:left="1069"/>
        <w:jc w:val="both"/>
        <w:rPr>
          <w:rFonts w:ascii="Titillium" w:hAnsi="Titillium"/>
          <w:b/>
          <w:bCs/>
          <w:i/>
          <w:iCs/>
          <w:sz w:val="12"/>
          <w:szCs w:val="14"/>
        </w:rPr>
      </w:pPr>
    </w:p>
    <w:p w:rsidR="00170A70" w:rsidRDefault="00170C1F" w:rsidP="00CE4FDF">
      <w:pPr>
        <w:pStyle w:val="Paragrafoelenco"/>
        <w:numPr>
          <w:ilvl w:val="0"/>
          <w:numId w:val="39"/>
        </w:numPr>
        <w:ind w:left="709" w:hanging="283"/>
        <w:contextualSpacing w:val="0"/>
        <w:jc w:val="both"/>
        <w:rPr>
          <w:rFonts w:ascii="Titillium" w:hAnsi="Titillium"/>
          <w:sz w:val="20"/>
        </w:rPr>
      </w:pPr>
      <w:r w:rsidRPr="00170C1F">
        <w:rPr>
          <w:rFonts w:ascii="Titillium" w:hAnsi="Titillium"/>
          <w:sz w:val="20"/>
        </w:rPr>
        <w:t xml:space="preserve">Insussistenza </w:t>
      </w:r>
      <w:r w:rsidR="0096525F" w:rsidRPr="0096525F">
        <w:rPr>
          <w:rFonts w:ascii="Titillium" w:hAnsi="Titillium"/>
          <w:noProof/>
          <w:lang w:eastAsia="it-IT"/>
        </w:rPr>
        <w:pict>
          <v:rect id="Rettangolo 2112762860" o:spid="_x0000_s2051" style="position:absolute;left:0;text-align:left;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rsidR="00896CD8" w:rsidRPr="00896CD8" w:rsidRDefault="00896CD8" w:rsidP="00896CD8">
      <w:pPr>
        <w:pStyle w:val="Paragrafoelenco"/>
        <w:ind w:left="1069"/>
        <w:jc w:val="both"/>
        <w:rPr>
          <w:rFonts w:ascii="Titillium" w:hAnsi="Titillium"/>
          <w:b/>
          <w:bCs/>
          <w:i/>
          <w:iCs/>
          <w:sz w:val="12"/>
          <w:szCs w:val="14"/>
        </w:rPr>
      </w:pPr>
    </w:p>
    <w:p w:rsidR="00D97A61" w:rsidRDefault="0096525F" w:rsidP="002D61F7">
      <w:pPr>
        <w:pStyle w:val="Paragrafoelenco"/>
        <w:ind w:left="709"/>
        <w:contextualSpacing w:val="0"/>
        <w:jc w:val="both"/>
        <w:rPr>
          <w:rFonts w:ascii="Titillium" w:hAnsi="Titillium"/>
          <w:sz w:val="20"/>
        </w:rPr>
      </w:pPr>
      <w:r w:rsidRPr="0096525F">
        <w:rPr>
          <w:rFonts w:ascii="Titillium" w:hAnsi="Titillium"/>
          <w:noProof/>
          <w:lang w:eastAsia="it-IT"/>
        </w:rPr>
        <w:pict>
          <v:rect id="Rettangolo 1882198538" o:spid="_x0000_s2050" style="position:absolute;left:0;text-align:left;margin-left:22.5pt;margin-top:5.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" fillcolor="window" strokecolor="#385d8a" strokeweight="2pt"/>
        </w:pict>
      </w:r>
      <w:r w:rsidR="00170C1F" w:rsidRPr="00170C1F">
        <w:rPr>
          <w:rFonts w:ascii="Titillium" w:hAnsi="Titillium"/>
          <w:sz w:val="20"/>
        </w:rPr>
        <w:t xml:space="preserve">Insussistenza </w:t>
      </w:r>
      <w:r w:rsidR="00170C1F">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290301">
        <w:rPr>
          <w:rFonts w:ascii="Titillium" w:hAnsi="Titillium"/>
          <w:sz w:val="20"/>
        </w:rPr>
        <w:t>;</w:t>
      </w:r>
    </w:p>
    <w:p w:rsidR="00896CD8" w:rsidRPr="00CE4FDF" w:rsidRDefault="00896CD8" w:rsidP="002D61F7">
      <w:pPr>
        <w:pStyle w:val="Paragrafoelenco"/>
        <w:ind w:left="709"/>
        <w:contextualSpacing w:val="0"/>
        <w:jc w:val="both"/>
        <w:rPr>
          <w:rFonts w:ascii="Titillium" w:hAnsi="Titillium"/>
          <w:sz w:val="12"/>
          <w:szCs w:val="14"/>
        </w:rPr>
      </w:pPr>
    </w:p>
    <w:p w:rsidR="00095A1A" w:rsidRPr="00290301" w:rsidRDefault="006A61AA" w:rsidP="00184463">
      <w:pPr>
        <w:tabs>
          <w:tab w:val="left" w:pos="0"/>
          <w:tab w:val="left" w:pos="142"/>
        </w:tabs>
        <w:spacing w:line="360" w:lineRule="auto"/>
        <w:jc w:val="center"/>
        <w:rPr>
          <w:rFonts w:ascii="Titillium" w:hAnsi="Titillium" w:cs="Titillium Web"/>
          <w:b/>
          <w:bCs/>
          <w:sz w:val="20"/>
          <w:szCs w:val="20"/>
        </w:rPr>
      </w:pPr>
      <w:r w:rsidRPr="00290301">
        <w:rPr>
          <w:rFonts w:ascii="Titillium" w:hAnsi="Titillium" w:cs="Titillium Web"/>
          <w:b/>
          <w:bCs/>
          <w:sz w:val="20"/>
          <w:szCs w:val="20"/>
        </w:rPr>
        <w:t>DICHIARA ALTRESI’</w:t>
      </w:r>
    </w:p>
    <w:p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9C21A5">
        <w:rPr>
          <w:rFonts w:ascii="Titillium" w:hAnsi="Titillium"/>
          <w:sz w:val="20"/>
          <w:szCs w:val="20"/>
        </w:rPr>
        <w:t xml:space="preserve"> </w:t>
      </w:r>
      <w:r w:rsidR="009C21A5">
        <w:rPr>
          <w:rStyle w:val="Rimandonotaapidipagina"/>
          <w:rFonts w:ascii="Titillium" w:hAnsi="Titillium"/>
          <w:sz w:val="20"/>
          <w:szCs w:val="20"/>
        </w:rPr>
        <w:footnoteReference w:id="13"/>
      </w:r>
      <w:r w:rsidRPr="006E1AC5">
        <w:rPr>
          <w:rFonts w:ascii="Titillium" w:hAnsi="Titillium"/>
          <w:sz w:val="20"/>
          <w:szCs w:val="20"/>
        </w:rPr>
        <w:t>.</w:t>
      </w:r>
    </w:p>
    <w:p w:rsidR="00BD6D9B" w:rsidRPr="00020A51" w:rsidRDefault="005A4984" w:rsidP="00020A51">
      <w:pPr>
        <w:jc w:val="both"/>
        <w:rPr>
          <w:rFonts w:ascii="Titillium" w:hAnsi="Titillium"/>
          <w:sz w:val="20"/>
          <w:szCs w:val="20"/>
        </w:rPr>
      </w:pPr>
      <w:bookmarkStart w:id="3" w:name="_Hlk200102237"/>
      <w:r w:rsidRPr="006F4F14">
        <w:rPr>
          <w:rFonts w:ascii="Titillium" w:hAnsi="Titillium"/>
          <w:sz w:val="20"/>
          <w:szCs w:val="20"/>
        </w:rPr>
        <w:lastRenderedPageBreak/>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w:t>
      </w:r>
      <w:r w:rsidRPr="007D5305">
        <w:rPr>
          <w:rFonts w:ascii="Titillium" w:hAnsi="Titillium"/>
          <w:sz w:val="20"/>
          <w:szCs w:val="20"/>
        </w:rPr>
        <w:t>veridicità, anche tramite acquisizione di informazioni sulle iscrizioni esistenti nel casellario giudiziale.</w:t>
      </w:r>
      <w:bookmarkEnd w:id="3"/>
    </w:p>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663DDA">
        <w:rPr>
          <w:rFonts w:ascii="Titillium" w:hAnsi="Titillium" w:cs="Titillium Web"/>
          <w:sz w:val="20"/>
          <w:szCs w:val="20"/>
        </w:rPr>
        <w:t xml:space="preserve">                                                                                                                                                  Firma</w:t>
      </w:r>
    </w:p>
    <w:p w:rsidR="00020A51" w:rsidRPr="00020A51" w:rsidRDefault="00020A51" w:rsidP="00020A51">
      <w:pPr>
        <w:spacing w:line="360" w:lineRule="auto"/>
        <w:jc w:val="both"/>
        <w:rPr>
          <w:rFonts w:ascii="Titillium" w:hAnsi="Titillium" w:cs="Titillium Web"/>
          <w:sz w:val="20"/>
          <w:szCs w:val="20"/>
        </w:rPr>
      </w:pPr>
    </w:p>
    <w:p w:rsidR="008F1B31" w:rsidRDefault="00020A51" w:rsidP="00020A51">
      <w:pPr>
        <w:spacing w:line="360" w:lineRule="auto"/>
        <w:jc w:val="both"/>
        <w:rPr>
          <w:rFonts w:ascii="Titillium" w:hAnsi="Titillium" w:cs="Titillium Web"/>
          <w:sz w:val="20"/>
          <w:szCs w:val="20"/>
        </w:rPr>
      </w:pPr>
      <w:r w:rsidRPr="00020A51">
        <w:rPr>
          <w:rFonts w:ascii="Titillium" w:hAnsi="Titillium" w:cs="Titillium Web"/>
          <w:sz w:val="20"/>
          <w:szCs w:val="20"/>
        </w:rPr>
        <w:t>La versione originale del documento è depositata presso l’Ufficio</w:t>
      </w:r>
    </w:p>
    <w:p w:rsidR="005A4984" w:rsidRPr="00FB6C70" w:rsidRDefault="005A4984" w:rsidP="00C0653D">
      <w:pPr>
        <w:spacing w:line="360" w:lineRule="auto"/>
        <w:ind w:left="7080" w:firstLine="708"/>
        <w:jc w:val="both"/>
        <w:rPr>
          <w:rFonts w:ascii="Titillium" w:hAnsi="Titillium" w:cs="Titillium Web"/>
          <w:strike/>
          <w:sz w:val="20"/>
          <w:szCs w:val="20"/>
        </w:rPr>
      </w:pPr>
    </w:p>
    <w:sectPr w:rsidR="005A4984" w:rsidRPr="00FB6C70" w:rsidSect="00B4300C">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068" w:rsidRDefault="00D04068" w:rsidP="001A58E6">
      <w:pPr>
        <w:spacing w:after="0" w:line="240" w:lineRule="auto"/>
      </w:pPr>
      <w:r>
        <w:separator/>
      </w:r>
    </w:p>
  </w:endnote>
  <w:endnote w:type="continuationSeparator" w:id="0">
    <w:p w:rsidR="00D04068" w:rsidRDefault="00D04068"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16" w:rsidRDefault="00BA261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16" w:rsidRDefault="00BA261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068" w:rsidRDefault="00D04068" w:rsidP="001A58E6">
      <w:pPr>
        <w:spacing w:after="0" w:line="240" w:lineRule="auto"/>
      </w:pPr>
      <w:r>
        <w:separator/>
      </w:r>
    </w:p>
  </w:footnote>
  <w:footnote w:type="continuationSeparator" w:id="0">
    <w:p w:rsidR="00D04068" w:rsidRDefault="00D04068" w:rsidP="001A58E6">
      <w:pPr>
        <w:spacing w:after="0" w:line="240" w:lineRule="auto"/>
      </w:pPr>
      <w:r>
        <w:continuationSeparator/>
      </w:r>
    </w:p>
  </w:footnote>
  <w:footnote w:id="1">
    <w:p w:rsidR="0096028D" w:rsidRDefault="0096028D" w:rsidP="00CE4FDF">
      <w:pPr>
        <w:pStyle w:val="Testonotaapidipagina"/>
        <w:ind w:left="284"/>
        <w:jc w:val="both"/>
        <w:rPr>
          <w:i/>
          <w:sz w:val="16"/>
        </w:rPr>
      </w:pPr>
      <w:r>
        <w:rPr>
          <w:rStyle w:val="Rimandonotaapidipagina"/>
        </w:rPr>
        <w:footnoteRef/>
      </w:r>
      <w:r>
        <w:t xml:space="preserve"> </w:t>
      </w:r>
      <w:r>
        <w:rPr>
          <w:b/>
          <w:sz w:val="16"/>
        </w:rPr>
        <w:t>Art. 1, comma 2</w:t>
      </w:r>
      <w:r w:rsidR="00290301">
        <w:rPr>
          <w:b/>
          <w:sz w:val="16"/>
        </w:rPr>
        <w:t>:</w:t>
      </w:r>
      <w:r>
        <w:rPr>
          <w:b/>
          <w:sz w:val="16"/>
        </w:rPr>
        <w:t xml:space="preserve"> </w:t>
      </w:r>
      <w:r>
        <w:rPr>
          <w:i/>
          <w:sz w:val="16"/>
        </w:rPr>
        <w:t>“Ai fini del presente decreto si intende</w:t>
      </w:r>
      <w:r w:rsidR="00CE4FDF">
        <w:rPr>
          <w:i/>
          <w:sz w:val="16"/>
        </w:rPr>
        <w:t>:</w:t>
      </w:r>
      <w:r>
        <w:rPr>
          <w:i/>
          <w:sz w:val="16"/>
        </w:rPr>
        <w:t xml:space="preserve"> a) per «</w:t>
      </w:r>
      <w:r>
        <w:rPr>
          <w:b/>
          <w:i/>
          <w:sz w:val="16"/>
        </w:rPr>
        <w:t>pubbliche amministrazioni</w:t>
      </w:r>
      <w:r>
        <w:rPr>
          <w:i/>
          <w:sz w:val="16"/>
        </w:rPr>
        <w:t>», le pubbliche amministrazioni di cui all'</w:t>
      </w:r>
      <w:hyperlink r:id="rId1" w:history="1">
        <w:r w:rsidRPr="00686A84">
          <w:rPr>
            <w:rStyle w:val="Collegamentoipertestuale"/>
            <w:i/>
            <w:color w:val="auto"/>
            <w:sz w:val="16"/>
            <w:u w:val="none"/>
          </w:rPr>
          <w:t>articolo 1, comma 2, del decreto legislativo 30 marzo 2001, n. 165</w:t>
        </w:r>
      </w:hyperlink>
      <w:r w:rsidRPr="00686A84">
        <w:rPr>
          <w:i/>
          <w:sz w:val="16"/>
        </w:rPr>
        <w:t>,</w:t>
      </w:r>
      <w:r>
        <w:rPr>
          <w:i/>
          <w:sz w:val="16"/>
        </w:rPr>
        <w:t xml:space="preserve"> ivi comprese le autorità amministrative indipendenti</w:t>
      </w:r>
      <w:r w:rsidR="00CE4FDF">
        <w:rPr>
          <w:i/>
          <w:sz w:val="16"/>
        </w:rPr>
        <w:t>.</w:t>
      </w:r>
      <w:r>
        <w:rPr>
          <w:i/>
          <w:sz w:val="16"/>
        </w:rPr>
        <w:t>”</w:t>
      </w:r>
      <w:r w:rsidR="00CE4FDF">
        <w:rPr>
          <w:i/>
          <w:sz w:val="16"/>
        </w:rPr>
        <w:t>;</w:t>
      </w:r>
    </w:p>
    <w:p w:rsidR="0096028D" w:rsidRDefault="0096028D" w:rsidP="0096028D">
      <w:pPr>
        <w:pStyle w:val="Testonotaapidipagina"/>
      </w:pPr>
    </w:p>
  </w:footnote>
  <w:footnote w:id="2">
    <w:p w:rsidR="009D6727" w:rsidRPr="007B50E1" w:rsidRDefault="009D6727" w:rsidP="009D6727">
      <w:pPr>
        <w:pStyle w:val="Testonotaapidipagina"/>
        <w:ind w:left="284"/>
        <w:jc w:val="both"/>
        <w:rPr>
          <w:i/>
          <w:sz w:val="16"/>
        </w:rPr>
      </w:pPr>
      <w:r>
        <w:rPr>
          <w:rStyle w:val="Rimandonotaapidipagina"/>
        </w:rPr>
        <w:footnoteRef/>
      </w:r>
      <w:r>
        <w:t xml:space="preserve"> </w:t>
      </w:r>
      <w:r>
        <w:rPr>
          <w:b/>
          <w:sz w:val="16"/>
        </w:rPr>
        <w:t>Art. 20, comma 2</w:t>
      </w:r>
      <w:r w:rsidR="00290301">
        <w:rPr>
          <w:b/>
          <w:sz w:val="16"/>
        </w:rPr>
        <w:t>:</w:t>
      </w:r>
      <w:r>
        <w:rPr>
          <w:b/>
          <w:sz w:val="16"/>
        </w:rPr>
        <w:t xml:space="preserve"> </w:t>
      </w:r>
      <w:r>
        <w:rPr>
          <w:sz w:val="16"/>
        </w:rPr>
        <w:t>“</w:t>
      </w:r>
      <w:r>
        <w:rPr>
          <w:i/>
          <w:sz w:val="16"/>
        </w:rPr>
        <w:t>Nel corso dell’incarico l’interessato presenta annualmente una dichiarazione sulla insussistenza di una delle cause di incompatibilità di cui al presente decreto</w:t>
      </w:r>
      <w:r w:rsidR="00DB0AC8">
        <w:rPr>
          <w:i/>
          <w:sz w:val="16"/>
        </w:rPr>
        <w:t>.”;</w:t>
      </w:r>
    </w:p>
    <w:p w:rsidR="009D6727" w:rsidRPr="007B50E1" w:rsidRDefault="009D6727" w:rsidP="009D6727">
      <w:pPr>
        <w:pStyle w:val="Testonotaapidipagina"/>
        <w:ind w:left="644"/>
        <w:jc w:val="both"/>
        <w:rPr>
          <w:i/>
          <w:sz w:val="16"/>
        </w:rPr>
      </w:pPr>
    </w:p>
  </w:footnote>
  <w:footnote w:id="3">
    <w:p w:rsidR="00CE4FDF" w:rsidRDefault="00CE4FDF" w:rsidP="00CE4FDF">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w:t>
      </w:r>
      <w:r w:rsidR="00476160">
        <w:rPr>
          <w:rFonts w:ascii="Titillium" w:eastAsiaTheme="minorHAnsi" w:hAnsi="Titillium" w:cs="Titillium Web"/>
          <w:b/>
          <w:sz w:val="16"/>
          <w:szCs w:val="20"/>
          <w:lang w:eastAsia="en-US"/>
        </w:rPr>
        <w:t>i 1 e 2</w:t>
      </w:r>
      <w:r w:rsidR="00290301">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00476160" w:rsidRPr="00476160">
        <w:rPr>
          <w:rFonts w:ascii="Titillium" w:eastAsiaTheme="minorHAnsi" w:hAnsi="Titillium" w:cs="Titillium Web"/>
          <w:b/>
          <w:bCs/>
          <w:i/>
          <w:sz w:val="16"/>
          <w:szCs w:val="20"/>
          <w:lang w:eastAsia="en-US"/>
        </w:rPr>
        <w:t xml:space="preserve"> </w:t>
      </w:r>
      <w:r w:rsidR="00DB0AC8">
        <w:rPr>
          <w:rFonts w:ascii="Titillium" w:eastAsiaTheme="minorHAnsi" w:hAnsi="Titillium" w:cs="Titillium Web"/>
          <w:b/>
          <w:bCs/>
          <w:i/>
          <w:sz w:val="16"/>
          <w:szCs w:val="20"/>
          <w:lang w:eastAsia="en-US"/>
        </w:rPr>
        <w:t xml:space="preserve">2. </w:t>
      </w:r>
      <w:r w:rsidR="00476160" w:rsidRPr="00854115">
        <w:rPr>
          <w:rFonts w:ascii="Titillium" w:eastAsiaTheme="minorHAnsi" w:hAnsi="Titillium" w:cs="Titillium Web"/>
          <w:b/>
          <w:bCs/>
          <w:i/>
          <w:sz w:val="16"/>
          <w:szCs w:val="20"/>
          <w:lang w:eastAsia="en-US"/>
        </w:rPr>
        <w:t>Gli incarichi amministrativi di vertice</w:t>
      </w:r>
      <w:r w:rsidR="00476160" w:rsidRPr="00337A8F">
        <w:rPr>
          <w:rFonts w:ascii="Titillium" w:eastAsiaTheme="minorHAnsi" w:hAnsi="Titillium" w:cs="Titillium Web"/>
          <w:i/>
          <w:sz w:val="16"/>
          <w:szCs w:val="20"/>
          <w:lang w:eastAsia="en-US"/>
        </w:rPr>
        <w:t xml:space="preserve"> </w:t>
      </w:r>
      <w:r w:rsidR="00476160" w:rsidRPr="00CE4FDF">
        <w:rPr>
          <w:rFonts w:ascii="Titillium" w:eastAsiaTheme="minorHAnsi" w:hAnsi="Titillium" w:cs="Titillium Web"/>
          <w:b/>
          <w:bCs/>
          <w:i/>
          <w:sz w:val="16"/>
          <w:szCs w:val="20"/>
          <w:lang w:eastAsia="en-US"/>
        </w:rPr>
        <w:t>e gli incarichi dirigenziali</w:t>
      </w:r>
      <w:r w:rsidR="00476160" w:rsidRPr="00337A8F">
        <w:rPr>
          <w:rFonts w:ascii="Titillium" w:eastAsiaTheme="minorHAnsi" w:hAnsi="Titillium" w:cs="Titillium Web"/>
          <w:i/>
          <w:sz w:val="16"/>
          <w:szCs w:val="20"/>
          <w:lang w:eastAsia="en-US"/>
        </w:rPr>
        <w:t xml:space="preserve">, comunque denominati, </w:t>
      </w:r>
      <w:r w:rsidR="00476160" w:rsidRPr="00854115">
        <w:rPr>
          <w:rFonts w:ascii="Titillium" w:eastAsiaTheme="minorHAnsi" w:hAnsi="Titillium" w:cs="Titillium Web"/>
          <w:b/>
          <w:bCs/>
          <w:i/>
          <w:sz w:val="16"/>
          <w:szCs w:val="20"/>
          <w:lang w:eastAsia="en-US"/>
        </w:rPr>
        <w:t>nelle pubbliche amministrazioni</w:t>
      </w:r>
      <w:r w:rsidR="00476160"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00476160"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00476160" w:rsidRPr="00337A8F">
        <w:rPr>
          <w:rFonts w:ascii="Titillium" w:eastAsiaTheme="minorHAnsi" w:hAnsi="Titillium" w:cs="Titillium Web"/>
          <w:i/>
          <w:sz w:val="16"/>
          <w:szCs w:val="20"/>
          <w:lang w:eastAsia="en-US"/>
        </w:rPr>
        <w:t xml:space="preserve"> o comunque retribuita dall’amministrazione o ente che conferisce l’incarico</w:t>
      </w:r>
      <w:r w:rsidR="00DB0AC8">
        <w:rPr>
          <w:rFonts w:ascii="Titillium" w:eastAsiaTheme="minorHAnsi" w:hAnsi="Titillium" w:cs="Titillium Web"/>
          <w:i/>
          <w:sz w:val="16"/>
          <w:szCs w:val="20"/>
          <w:lang w:eastAsia="en-US"/>
        </w:rPr>
        <w:t>.”;</w:t>
      </w:r>
    </w:p>
    <w:p w:rsidR="00CE4FDF" w:rsidRPr="00902A42" w:rsidRDefault="00CE4FDF" w:rsidP="00CE4FDF">
      <w:pPr>
        <w:pStyle w:val="Testonotaapidipagina"/>
        <w:ind w:left="709"/>
        <w:rPr>
          <w:sz w:val="18"/>
        </w:rPr>
      </w:pPr>
    </w:p>
  </w:footnote>
  <w:footnote w:id="4">
    <w:p w:rsidR="00501D92" w:rsidRPr="007C0B65" w:rsidRDefault="00501D92" w:rsidP="007C0B65">
      <w:pPr>
        <w:pStyle w:val="Testonotaapidipagina"/>
        <w:ind w:left="284"/>
        <w:jc w:val="both"/>
        <w:rPr>
          <w:rFonts w:eastAsia="Times New Roman"/>
          <w:i/>
          <w:sz w:val="16"/>
          <w:lang w:eastAsia="it-IT"/>
        </w:rPr>
      </w:pPr>
      <w:r w:rsidRPr="0075022F">
        <w:rPr>
          <w:szCs w:val="22"/>
          <w:vertAlign w:val="superscript"/>
        </w:rPr>
        <w:footnoteRef/>
      </w:r>
      <w:r>
        <w:t xml:space="preserve"> </w:t>
      </w:r>
      <w:r w:rsidR="007C0B65" w:rsidRPr="00200217">
        <w:rPr>
          <w:b/>
          <w:sz w:val="16"/>
        </w:rPr>
        <w:t xml:space="preserve">Art. </w:t>
      </w:r>
      <w:r w:rsidR="00D20329">
        <w:rPr>
          <w:b/>
          <w:sz w:val="16"/>
        </w:rPr>
        <w:t>1</w:t>
      </w:r>
      <w:r w:rsidR="007C0B65" w:rsidRPr="00200217">
        <w:rPr>
          <w:b/>
          <w:sz w:val="16"/>
        </w:rPr>
        <w:t>1</w:t>
      </w:r>
      <w:r w:rsidR="00CE4FDF">
        <w:rPr>
          <w:b/>
          <w:sz w:val="16"/>
        </w:rPr>
        <w:t>, comma 1</w:t>
      </w:r>
      <w:r w:rsidR="00290301">
        <w:rPr>
          <w:b/>
          <w:sz w:val="16"/>
        </w:rPr>
        <w:t>:</w:t>
      </w:r>
      <w:r w:rsidR="00CE4FDF">
        <w:rPr>
          <w:b/>
          <w:sz w:val="16"/>
        </w:rPr>
        <w:t xml:space="preserve"> </w:t>
      </w:r>
      <w:r w:rsidR="007C0B65">
        <w:t>“</w:t>
      </w:r>
      <w:r w:rsidR="007C0B65" w:rsidRPr="00200217">
        <w:rPr>
          <w:rFonts w:eastAsia="Times New Roman"/>
          <w:b/>
          <w:i/>
          <w:sz w:val="16"/>
          <w:lang w:eastAsia="it-IT"/>
        </w:rPr>
        <w:t>Gli incarichi amministrativi di vertice nelle amministrazioni statali, regionali e locali</w:t>
      </w:r>
      <w:r w:rsidR="007C0B65" w:rsidRPr="00200217">
        <w:rPr>
          <w:rFonts w:eastAsia="Times New Roman"/>
          <w:i/>
          <w:sz w:val="16"/>
          <w:lang w:eastAsia="it-IT"/>
        </w:rPr>
        <w:t xml:space="preserve"> </w:t>
      </w:r>
      <w:r w:rsidR="007C0B65">
        <w:rPr>
          <w:rFonts w:eastAsia="Times New Roman"/>
          <w:i/>
          <w:sz w:val="16"/>
          <w:lang w:eastAsia="it-IT"/>
        </w:rPr>
        <w:t>(...)</w:t>
      </w:r>
      <w:r w:rsidR="007C0B65"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sidR="00CE4FDF">
        <w:rPr>
          <w:rFonts w:eastAsia="Times New Roman"/>
          <w:i/>
          <w:sz w:val="16"/>
          <w:lang w:eastAsia="it-IT"/>
        </w:rPr>
        <w:t>.</w:t>
      </w:r>
      <w:r w:rsidRPr="00337A8F">
        <w:rPr>
          <w:i/>
          <w:sz w:val="16"/>
        </w:rPr>
        <w:t>”</w:t>
      </w:r>
      <w:r w:rsidR="00CE4FDF">
        <w:rPr>
          <w:i/>
          <w:sz w:val="16"/>
        </w:rPr>
        <w:t>;</w:t>
      </w:r>
    </w:p>
    <w:p w:rsidR="00501D92" w:rsidRDefault="00501D92" w:rsidP="002D61F7">
      <w:pPr>
        <w:pStyle w:val="Testonotaapidipagina"/>
        <w:jc w:val="both"/>
      </w:pPr>
    </w:p>
  </w:footnote>
  <w:footnote w:id="5">
    <w:p w:rsidR="007C0B65" w:rsidRPr="00200217" w:rsidRDefault="00501D92" w:rsidP="00CE4FDF">
      <w:pPr>
        <w:pStyle w:val="Testonotaapidipagina"/>
        <w:ind w:left="284"/>
        <w:jc w:val="both"/>
        <w:rPr>
          <w:rFonts w:eastAsia="Times New Roman"/>
          <w:i/>
          <w:sz w:val="16"/>
          <w:lang w:eastAsia="it-IT"/>
        </w:rPr>
      </w:pPr>
      <w:r>
        <w:rPr>
          <w:rStyle w:val="Rimandonotaapidipagina"/>
        </w:rPr>
        <w:footnoteRef/>
      </w:r>
      <w:r>
        <w:rPr>
          <w:b/>
          <w:sz w:val="16"/>
        </w:rPr>
        <w:t xml:space="preserve"> </w:t>
      </w:r>
      <w:r w:rsidR="007C0B65" w:rsidRPr="00200217">
        <w:rPr>
          <w:b/>
          <w:sz w:val="16"/>
        </w:rPr>
        <w:t>Art. 11</w:t>
      </w:r>
      <w:r w:rsidR="00CE4FDF">
        <w:t xml:space="preserve">, </w:t>
      </w:r>
      <w:r w:rsidR="00CE4FDF" w:rsidRPr="00CE4FDF">
        <w:rPr>
          <w:b/>
          <w:sz w:val="16"/>
        </w:rPr>
        <w:t>comma 2</w:t>
      </w:r>
      <w:r w:rsidR="00290301">
        <w:rPr>
          <w:b/>
          <w:sz w:val="16"/>
        </w:rPr>
        <w:t>:</w:t>
      </w:r>
      <w:r w:rsidR="007C0B65" w:rsidRPr="00200217">
        <w:rPr>
          <w:rFonts w:eastAsia="Times New Roman"/>
          <w:i/>
          <w:sz w:val="16"/>
          <w:lang w:eastAsia="it-IT"/>
        </w:rPr>
        <w:t xml:space="preserve"> </w:t>
      </w:r>
      <w:r w:rsidR="007C0B65">
        <w:rPr>
          <w:rFonts w:eastAsia="Times New Roman"/>
          <w:i/>
          <w:sz w:val="16"/>
          <w:lang w:eastAsia="it-IT"/>
        </w:rPr>
        <w:t>“</w:t>
      </w:r>
      <w:r w:rsidR="007C0B65" w:rsidRPr="00200217">
        <w:rPr>
          <w:rFonts w:eastAsia="Times New Roman"/>
          <w:b/>
          <w:i/>
          <w:sz w:val="16"/>
          <w:lang w:eastAsia="it-IT"/>
        </w:rPr>
        <w:t xml:space="preserve">Gli incarichi amministrativi di vertice nelle amministrazioni regionali </w:t>
      </w:r>
      <w:r w:rsidR="007C0B65">
        <w:rPr>
          <w:rFonts w:eastAsia="Times New Roman"/>
          <w:i/>
          <w:sz w:val="16"/>
          <w:lang w:eastAsia="it-IT"/>
        </w:rPr>
        <w:t>(...)</w:t>
      </w:r>
      <w:r w:rsidR="007C0B65" w:rsidRPr="00200217">
        <w:rPr>
          <w:rFonts w:eastAsia="Times New Roman"/>
          <w:i/>
          <w:sz w:val="16"/>
          <w:lang w:eastAsia="it-IT"/>
        </w:rPr>
        <w:t xml:space="preserve"> sono incompatibili:</w:t>
      </w:r>
      <w:r w:rsidR="00CE4FDF">
        <w:rPr>
          <w:rFonts w:eastAsia="Times New Roman"/>
          <w:i/>
          <w:sz w:val="16"/>
          <w:lang w:eastAsia="it-IT"/>
        </w:rPr>
        <w:t xml:space="preserve"> </w:t>
      </w:r>
      <w:r w:rsidR="007C0B65" w:rsidRPr="00200217">
        <w:rPr>
          <w:rFonts w:eastAsia="Times New Roman"/>
          <w:i/>
          <w:sz w:val="16"/>
          <w:lang w:eastAsia="it-IT"/>
        </w:rPr>
        <w:t>a) con la carica di componente della giunta o del consiglio della regione che ha conferito l'incarico;</w:t>
      </w:r>
      <w:r w:rsidR="00CE4FDF">
        <w:rPr>
          <w:rFonts w:eastAsia="Times New Roman"/>
          <w:i/>
          <w:sz w:val="16"/>
          <w:lang w:eastAsia="it-IT"/>
        </w:rPr>
        <w:t xml:space="preserve"> </w:t>
      </w:r>
      <w:r w:rsidR="007C0B65"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sidR="00CE4FDF">
        <w:rPr>
          <w:rFonts w:eastAsia="Times New Roman"/>
          <w:i/>
          <w:sz w:val="16"/>
          <w:lang w:eastAsia="it-IT"/>
        </w:rPr>
        <w:t xml:space="preserve"> </w:t>
      </w:r>
      <w:r w:rsidR="007C0B65" w:rsidRPr="00200217">
        <w:rPr>
          <w:rFonts w:eastAsia="Times New Roman"/>
          <w:i/>
          <w:sz w:val="16"/>
          <w:lang w:eastAsia="it-IT"/>
        </w:rPr>
        <w:t>c) con la carica di presidente e amministratore delegato di un ente di diritto privato in controllo pubblico da parte della regione</w:t>
      </w:r>
      <w:r w:rsidR="00CE4FDF">
        <w:rPr>
          <w:rFonts w:eastAsia="Times New Roman"/>
          <w:i/>
          <w:sz w:val="16"/>
          <w:lang w:eastAsia="it-IT"/>
        </w:rPr>
        <w:t>.”;</w:t>
      </w:r>
    </w:p>
    <w:p w:rsidR="00501D92" w:rsidRDefault="00501D92" w:rsidP="002D61F7">
      <w:pPr>
        <w:pStyle w:val="Testonotaapidipagina"/>
        <w:ind w:left="284"/>
        <w:jc w:val="both"/>
      </w:pPr>
    </w:p>
  </w:footnote>
  <w:footnote w:id="6">
    <w:p w:rsidR="007C0B65" w:rsidRPr="00200217" w:rsidRDefault="00501D92" w:rsidP="007C0B65">
      <w:pPr>
        <w:pStyle w:val="Testonotaapidipagina"/>
        <w:ind w:left="284"/>
        <w:jc w:val="both"/>
        <w:rPr>
          <w:rFonts w:eastAsia="Times New Roman"/>
          <w:i/>
          <w:sz w:val="16"/>
          <w:lang w:eastAsia="it-IT"/>
        </w:rPr>
      </w:pPr>
      <w:r w:rsidRPr="0075022F">
        <w:rPr>
          <w:rStyle w:val="Rimandonotaapidipagina"/>
        </w:rPr>
        <w:footnoteRef/>
      </w:r>
      <w:r>
        <w:t xml:space="preserve"> </w:t>
      </w:r>
      <w:r w:rsidRPr="000C4C80">
        <w:rPr>
          <w:b/>
          <w:sz w:val="16"/>
        </w:rPr>
        <w:t xml:space="preserve">Art. </w:t>
      </w:r>
      <w:r>
        <w:rPr>
          <w:b/>
          <w:sz w:val="16"/>
        </w:rPr>
        <w:t>1</w:t>
      </w:r>
      <w:r w:rsidR="007C0B65">
        <w:rPr>
          <w:b/>
          <w:sz w:val="16"/>
        </w:rPr>
        <w:t>1</w:t>
      </w:r>
      <w:r w:rsidR="00CE4FDF">
        <w:rPr>
          <w:b/>
          <w:sz w:val="16"/>
        </w:rPr>
        <w:t>, comma 3</w:t>
      </w:r>
      <w:r w:rsidR="00290301">
        <w:rPr>
          <w:b/>
          <w:sz w:val="16"/>
        </w:rPr>
        <w:t>:</w:t>
      </w:r>
      <w:r w:rsidR="00CE4FDF">
        <w:rPr>
          <w:b/>
          <w:sz w:val="16"/>
        </w:rPr>
        <w:t xml:space="preserve"> </w:t>
      </w:r>
      <w:r w:rsidR="007C0B65">
        <w:rPr>
          <w:rFonts w:eastAsia="Times New Roman"/>
          <w:i/>
          <w:sz w:val="16"/>
          <w:lang w:eastAsia="it-IT"/>
        </w:rPr>
        <w:t>“</w:t>
      </w:r>
      <w:r w:rsidR="007C0B65"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sidR="007C0B65">
        <w:rPr>
          <w:rFonts w:eastAsia="Times New Roman"/>
          <w:i/>
          <w:sz w:val="16"/>
          <w:lang w:eastAsia="it-IT"/>
        </w:rPr>
        <w:t xml:space="preserve">(...) </w:t>
      </w:r>
      <w:r w:rsidR="007C0B65" w:rsidRPr="00200217">
        <w:rPr>
          <w:rFonts w:eastAsia="Times New Roman"/>
          <w:i/>
          <w:sz w:val="16"/>
          <w:lang w:eastAsia="it-IT"/>
        </w:rPr>
        <w:t>sono incompatibili:</w:t>
      </w:r>
      <w:r w:rsidR="00CE4FDF">
        <w:rPr>
          <w:rFonts w:eastAsia="Times New Roman"/>
          <w:i/>
          <w:sz w:val="16"/>
          <w:lang w:eastAsia="it-IT"/>
        </w:rPr>
        <w:t xml:space="preserve"> </w:t>
      </w:r>
      <w:r w:rsidR="007C0B65" w:rsidRPr="00200217">
        <w:rPr>
          <w:rFonts w:eastAsia="Times New Roman"/>
          <w:i/>
          <w:sz w:val="16"/>
          <w:lang w:eastAsia="it-IT"/>
        </w:rPr>
        <w:t>a) con la carica di componente della giunta o del consiglio della provincia, del comune o della forma associativa tra comuni che ha conferito l'incarico;</w:t>
      </w:r>
      <w:r w:rsidR="00DB0AC8">
        <w:rPr>
          <w:rFonts w:eastAsia="Times New Roman"/>
          <w:i/>
          <w:sz w:val="16"/>
          <w:lang w:eastAsia="it-IT"/>
        </w:rPr>
        <w:t xml:space="preserve"> </w:t>
      </w:r>
      <w:r w:rsidR="007C0B65"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sidR="00DB0AC8">
        <w:rPr>
          <w:rFonts w:eastAsia="Times New Roman"/>
          <w:i/>
          <w:sz w:val="16"/>
          <w:lang w:eastAsia="it-IT"/>
        </w:rPr>
        <w:t>.”</w:t>
      </w:r>
      <w:r w:rsidR="00290301">
        <w:rPr>
          <w:rFonts w:eastAsia="Times New Roman"/>
          <w:i/>
          <w:sz w:val="16"/>
          <w:lang w:eastAsia="it-IT"/>
        </w:rPr>
        <w:t>;</w:t>
      </w:r>
    </w:p>
    <w:p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rsidR="00501D92" w:rsidRPr="00FA0C50" w:rsidRDefault="00501D92" w:rsidP="002D61F7">
      <w:pPr>
        <w:pStyle w:val="Testonotaapidipagina"/>
        <w:ind w:left="284"/>
        <w:jc w:val="both"/>
        <w:rPr>
          <w:sz w:val="4"/>
          <w:szCs w:val="4"/>
        </w:rPr>
      </w:pPr>
    </w:p>
  </w:footnote>
  <w:footnote w:id="7">
    <w:p w:rsidR="00DB0AC8" w:rsidRDefault="00DB0AC8" w:rsidP="00DB0AC8">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p w:rsidR="00DB0AC8" w:rsidRDefault="00DB0AC8" w:rsidP="00DB0AC8">
      <w:pPr>
        <w:pStyle w:val="Testonotaapidipagina"/>
        <w:ind w:left="284"/>
      </w:pPr>
    </w:p>
  </w:footnote>
  <w:footnote w:id="8">
    <w:p w:rsidR="00FA0C50" w:rsidRDefault="00FA0C50" w:rsidP="00FA0C5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rsidR="00CE4FDF" w:rsidRPr="000E3DEA" w:rsidRDefault="00F23D7D" w:rsidP="00CE4FDF">
      <w:pPr>
        <w:pStyle w:val="Testonotaapidipagina"/>
        <w:tabs>
          <w:tab w:val="clear" w:pos="284"/>
        </w:tabs>
        <w:ind w:left="284"/>
        <w:jc w:val="both"/>
        <w:rPr>
          <w:i/>
          <w:sz w:val="16"/>
        </w:rPr>
      </w:pPr>
      <w:r>
        <w:rPr>
          <w:bCs/>
          <w:szCs w:val="24"/>
          <w:vertAlign w:val="superscript"/>
        </w:rPr>
        <w:t xml:space="preserve"> </w:t>
      </w:r>
      <w:r w:rsidR="00CE4FDF" w:rsidRPr="0075022F">
        <w:rPr>
          <w:bCs/>
          <w:szCs w:val="24"/>
          <w:vertAlign w:val="superscript"/>
        </w:rPr>
        <w:footnoteRef/>
      </w:r>
      <w:r w:rsidR="00CE4FDF" w:rsidRPr="0075022F">
        <w:rPr>
          <w:bCs/>
          <w:szCs w:val="24"/>
          <w:vertAlign w:val="superscript"/>
        </w:rPr>
        <w:t xml:space="preserve"> </w:t>
      </w:r>
      <w:r w:rsidR="00CE4FDF" w:rsidRPr="000E3DEA">
        <w:rPr>
          <w:b/>
          <w:sz w:val="16"/>
        </w:rPr>
        <w:t>Art.</w:t>
      </w:r>
      <w:r w:rsidR="00CE4FDF" w:rsidRPr="000E3DEA">
        <w:rPr>
          <w:rFonts w:ascii="Calibri" w:hAnsi="Calibri" w:cs="Calibri"/>
          <w:b/>
          <w:sz w:val="16"/>
        </w:rPr>
        <w:t> </w:t>
      </w:r>
      <w:bookmarkStart w:id="2" w:name="12"/>
      <w:r w:rsidR="00CE4FDF" w:rsidRPr="000E3DEA">
        <w:rPr>
          <w:b/>
          <w:sz w:val="16"/>
        </w:rPr>
        <w:t>12</w:t>
      </w:r>
      <w:bookmarkEnd w:id="2"/>
      <w:r w:rsidR="00CE4FDF">
        <w:rPr>
          <w:b/>
          <w:sz w:val="16"/>
        </w:rPr>
        <w:t>, comma 1</w:t>
      </w:r>
      <w:r w:rsidR="00290301">
        <w:rPr>
          <w:b/>
          <w:sz w:val="16"/>
        </w:rPr>
        <w:t>:</w:t>
      </w:r>
      <w:r w:rsidR="00CE4FDF">
        <w:rPr>
          <w:b/>
          <w:sz w:val="16"/>
        </w:rPr>
        <w:t xml:space="preserve"> “</w:t>
      </w:r>
      <w:r w:rsidR="00CE4FDF" w:rsidRPr="007C0B65">
        <w:rPr>
          <w:b/>
          <w:bCs/>
          <w:i/>
          <w:sz w:val="16"/>
        </w:rPr>
        <w:t>Gli incarichi dirigenziali, interni e esterni, nelle pubbliche amministrazioni,</w:t>
      </w:r>
      <w:r w:rsidR="00CE4FDF"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00CE4FDF" w:rsidRPr="007C0B65">
        <w:rPr>
          <w:i/>
          <w:sz w:val="16"/>
        </w:rPr>
        <w:t>nello stesso ente di diritto privato in controllo pubblico</w:t>
      </w:r>
      <w:r w:rsidR="00CE4FDF" w:rsidRPr="000E3DEA">
        <w:rPr>
          <w:i/>
          <w:sz w:val="16"/>
        </w:rPr>
        <w:t xml:space="preserve"> che ha conferito l'incar</w:t>
      </w:r>
      <w:r w:rsidR="00CE4FDF">
        <w:rPr>
          <w:i/>
          <w:sz w:val="16"/>
        </w:rPr>
        <w:t>ico</w:t>
      </w:r>
      <w:r w:rsidR="00DB0AC8">
        <w:rPr>
          <w:i/>
          <w:sz w:val="16"/>
        </w:rPr>
        <w:t>.</w:t>
      </w:r>
      <w:r w:rsidR="00CE4FDF">
        <w:rPr>
          <w:i/>
          <w:sz w:val="16"/>
        </w:rPr>
        <w:t>”</w:t>
      </w:r>
      <w:r w:rsidR="00DB0AC8">
        <w:rPr>
          <w:i/>
          <w:sz w:val="16"/>
        </w:rPr>
        <w:t>;</w:t>
      </w:r>
    </w:p>
    <w:p w:rsidR="00CE4FDF" w:rsidRDefault="00CE4FDF" w:rsidP="00CE4FDF">
      <w:pPr>
        <w:pStyle w:val="Testonotaapidipagina"/>
        <w:jc w:val="both"/>
      </w:pPr>
    </w:p>
  </w:footnote>
  <w:footnote w:id="10">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290301">
        <w:rPr>
          <w:b/>
          <w:iCs/>
          <w:sz w:val="16"/>
        </w:rPr>
        <w:t>:</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DB0AC8">
        <w:rPr>
          <w:i/>
          <w:sz w:val="16"/>
        </w:rPr>
        <w:t>”;</w:t>
      </w:r>
    </w:p>
    <w:p w:rsidR="002D61F7" w:rsidRDefault="002D61F7" w:rsidP="0075022F">
      <w:pPr>
        <w:pStyle w:val="Testonotaapidipagina"/>
        <w:ind w:left="284"/>
        <w:jc w:val="both"/>
      </w:pPr>
    </w:p>
  </w:footnote>
  <w:footnote w:id="11">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290301">
        <w:rPr>
          <w:b/>
          <w:iCs/>
          <w:sz w:val="16"/>
        </w:rPr>
        <w:t>:</w:t>
      </w:r>
      <w:r w:rsidRPr="00337A8F">
        <w:rPr>
          <w:i/>
          <w:sz w:val="16"/>
        </w:rPr>
        <w:t xml:space="preserve"> </w:t>
      </w:r>
      <w:r w:rsidR="0075022F">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sidR="00CE4FDF">
        <w:rPr>
          <w:i/>
          <w:sz w:val="16"/>
        </w:rPr>
        <w:t xml:space="preserve"> </w:t>
      </w:r>
      <w:r w:rsidRPr="00337A8F">
        <w:rPr>
          <w:i/>
          <w:sz w:val="16"/>
        </w:rPr>
        <w:t>a) con la carica di componente della giunta o del consiglio della regione interessata;</w:t>
      </w:r>
      <w:r w:rsidR="00CE4FDF">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CE4FDF">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DB0AC8">
        <w:rPr>
          <w:i/>
          <w:sz w:val="16"/>
        </w:rPr>
        <w:t>.”;</w:t>
      </w:r>
    </w:p>
    <w:p w:rsidR="002D61F7" w:rsidRDefault="002D61F7" w:rsidP="0075022F">
      <w:pPr>
        <w:pStyle w:val="Testonotaapidipagina"/>
        <w:ind w:hanging="1417"/>
        <w:jc w:val="both"/>
      </w:pPr>
    </w:p>
  </w:footnote>
  <w:footnote w:id="12">
    <w:p w:rsidR="0075022F" w:rsidRPr="00203938" w:rsidRDefault="0075022F" w:rsidP="00CE4FD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290301">
        <w:rPr>
          <w:b/>
          <w:iCs/>
          <w:sz w:val="16"/>
        </w:rPr>
        <w:t>:</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sidR="00CE4FDF">
        <w:rPr>
          <w:i/>
          <w:sz w:val="16"/>
        </w:rPr>
        <w:t xml:space="preserve"> </w:t>
      </w:r>
      <w:r w:rsidRPr="00203938">
        <w:rPr>
          <w:i/>
          <w:sz w:val="16"/>
        </w:rPr>
        <w:t>a) con la carica di componente della giunta o del consiglio della regione;</w:t>
      </w:r>
      <w:r w:rsidR="00CE4FDF">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CE4FDF">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sidR="00DB0AC8">
        <w:rPr>
          <w:i/>
          <w:sz w:val="16"/>
        </w:rPr>
        <w:t>.”;</w:t>
      </w:r>
    </w:p>
    <w:p w:rsidR="0075022F" w:rsidRDefault="0075022F" w:rsidP="009C21A5">
      <w:pPr>
        <w:pStyle w:val="Testonotaapidipagina"/>
        <w:ind w:left="0"/>
      </w:pPr>
    </w:p>
  </w:footnote>
  <w:footnote w:id="13">
    <w:p w:rsidR="009C21A5" w:rsidRPr="009C21A5" w:rsidRDefault="009C21A5" w:rsidP="009C21A5">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006666EA" w:rsidRPr="006666EA">
        <w:rPr>
          <w:bCs/>
          <w:iCs/>
          <w:sz w:val="16"/>
        </w:rPr>
        <w:t>A</w:t>
      </w:r>
      <w:r w:rsidRPr="006666EA">
        <w:rPr>
          <w:bCs/>
          <w:iCs/>
          <w:sz w:val="16"/>
        </w:rPr>
        <w:t xml:space="preserve">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r w:rsidR="00133ED2" w:rsidRPr="006666EA">
        <w:rPr>
          <w:bCs/>
          <w:iCs/>
          <w:sz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16" w:rsidRDefault="00BA261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p w:rsidR="009845FA" w:rsidRDefault="009845FA" w:rsidP="00C168AD">
          <w:pPr>
            <w:pStyle w:val="Intestazione"/>
            <w:jc w:val="both"/>
            <w:rPr>
              <w:rFonts w:asciiTheme="majorHAnsi" w:eastAsiaTheme="majorEastAsia" w:hAnsiTheme="majorHAnsi" w:cstheme="majorBidi"/>
              <w:sz w:val="32"/>
              <w:szCs w:val="32"/>
            </w:rPr>
          </w:pPr>
        </w:p>
        <w:p w:rsidR="00BA2616" w:rsidRDefault="00BA2616" w:rsidP="00BA2616">
          <w:pPr>
            <w:autoSpaceDE w:val="0"/>
            <w:autoSpaceDN w:val="0"/>
            <w:adjustRightInd w:val="0"/>
            <w:spacing w:after="0" w:line="240" w:lineRule="auto"/>
            <w:rPr>
              <w:rFonts w:asciiTheme="majorHAnsi" w:hAnsiTheme="majorHAnsi"/>
              <w:b/>
              <w:bCs/>
            </w:rPr>
          </w:pPr>
          <w:r>
            <w:rPr>
              <w:rFonts w:asciiTheme="majorHAnsi" w:hAnsiTheme="majorHAnsi"/>
              <w:b/>
              <w:bCs/>
            </w:rPr>
            <w:t>Avviso pubblico prot. n. 44131/2026</w:t>
          </w:r>
        </w:p>
        <w:p w:rsidR="00BA2616" w:rsidRDefault="00BA2616" w:rsidP="00BA2616">
          <w:pPr>
            <w:autoSpaceDE w:val="0"/>
            <w:autoSpaceDN w:val="0"/>
            <w:adjustRightInd w:val="0"/>
            <w:spacing w:after="0" w:line="240" w:lineRule="auto"/>
            <w:rPr>
              <w:rFonts w:asciiTheme="majorHAnsi" w:hAnsiTheme="majorHAnsi"/>
              <w:b/>
              <w:bCs/>
            </w:rPr>
          </w:pPr>
          <w:r>
            <w:rPr>
              <w:rFonts w:asciiTheme="majorHAnsi" w:hAnsiTheme="majorHAnsi"/>
              <w:b/>
              <w:bCs/>
            </w:rPr>
            <w:t>(Scadenza: entro e non oltre il giorno 16 luglio 2026, ore 13:00)</w:t>
          </w:r>
        </w:p>
        <w:p w:rsidR="009845FA" w:rsidRPr="00733F51" w:rsidRDefault="009845FA" w:rsidP="00C168AD">
          <w:pPr>
            <w:pStyle w:val="Intestazione"/>
            <w:jc w:val="both"/>
            <w:rPr>
              <w:rFonts w:asciiTheme="majorHAnsi" w:eastAsiaTheme="majorEastAsia" w:hAnsiTheme="majorHAnsi" w:cstheme="majorBidi"/>
              <w:sz w:val="32"/>
              <w:szCs w:val="32"/>
            </w:rPr>
          </w:pP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16" w:rsidRDefault="00BA261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ED7509"/>
    <w:multiLevelType w:val="multilevel"/>
    <w:tmpl w:val="574A312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5">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2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6">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3">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9">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36"/>
  </w:num>
  <w:num w:numId="3">
    <w:abstractNumId w:val="0"/>
  </w:num>
  <w:num w:numId="4">
    <w:abstractNumId w:val="33"/>
  </w:num>
  <w:num w:numId="5">
    <w:abstractNumId w:val="25"/>
  </w:num>
  <w:num w:numId="6">
    <w:abstractNumId w:val="17"/>
  </w:num>
  <w:num w:numId="7">
    <w:abstractNumId w:val="7"/>
  </w:num>
  <w:num w:numId="8">
    <w:abstractNumId w:val="1"/>
  </w:num>
  <w:num w:numId="9">
    <w:abstractNumId w:val="30"/>
  </w:num>
  <w:num w:numId="10">
    <w:abstractNumId w:val="22"/>
  </w:num>
  <w:num w:numId="11">
    <w:abstractNumId w:val="39"/>
  </w:num>
  <w:num w:numId="12">
    <w:abstractNumId w:val="4"/>
  </w:num>
  <w:num w:numId="13">
    <w:abstractNumId w:val="34"/>
  </w:num>
  <w:num w:numId="14">
    <w:abstractNumId w:val="18"/>
  </w:num>
  <w:num w:numId="15">
    <w:abstractNumId w:val="2"/>
  </w:num>
  <w:num w:numId="16">
    <w:abstractNumId w:val="27"/>
  </w:num>
  <w:num w:numId="17">
    <w:abstractNumId w:val="3"/>
  </w:num>
  <w:num w:numId="18">
    <w:abstractNumId w:val="28"/>
  </w:num>
  <w:num w:numId="19">
    <w:abstractNumId w:val="26"/>
  </w:num>
  <w:num w:numId="20">
    <w:abstractNumId w:val="15"/>
  </w:num>
  <w:num w:numId="21">
    <w:abstractNumId w:val="11"/>
  </w:num>
  <w:num w:numId="22">
    <w:abstractNumId w:val="16"/>
  </w:num>
  <w:num w:numId="23">
    <w:abstractNumId w:val="8"/>
  </w:num>
  <w:num w:numId="24">
    <w:abstractNumId w:val="32"/>
  </w:num>
  <w:num w:numId="25">
    <w:abstractNumId w:val="24"/>
  </w:num>
  <w:num w:numId="26">
    <w:abstractNumId w:val="31"/>
  </w:num>
  <w:num w:numId="27">
    <w:abstractNumId w:val="37"/>
  </w:num>
  <w:num w:numId="28">
    <w:abstractNumId w:val="13"/>
  </w:num>
  <w:num w:numId="29">
    <w:abstractNumId w:val="10"/>
  </w:num>
  <w:num w:numId="30">
    <w:abstractNumId w:val="38"/>
  </w:num>
  <w:num w:numId="31">
    <w:abstractNumId w:val="20"/>
  </w:num>
  <w:num w:numId="32">
    <w:abstractNumId w:val="21"/>
  </w:num>
  <w:num w:numId="33">
    <w:abstractNumId w:val="6"/>
  </w:num>
  <w:num w:numId="34">
    <w:abstractNumId w:val="5"/>
  </w:num>
  <w:num w:numId="35">
    <w:abstractNumId w:val="29"/>
  </w:num>
  <w:num w:numId="36">
    <w:abstractNumId w:val="19"/>
  </w:num>
  <w:num w:numId="37">
    <w:abstractNumId w:val="23"/>
  </w:num>
  <w:num w:numId="38">
    <w:abstractNumId w:val="9"/>
  </w:num>
  <w:num w:numId="39">
    <w:abstractNumId w:val="35"/>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283"/>
  <w:characterSpacingControl w:val="doNotCompress"/>
  <w:hdrShapeDefaults>
    <o:shapedefaults v:ext="edit" spidmax="2060"/>
  </w:hdrShapeDefaults>
  <w:footnotePr>
    <w:footnote w:id="-1"/>
    <w:footnote w:id="0"/>
  </w:footnotePr>
  <w:endnotePr>
    <w:endnote w:id="-1"/>
    <w:endnote w:id="0"/>
  </w:endnotePr>
  <w:compat/>
  <w:rsids>
    <w:rsidRoot w:val="001C6033"/>
    <w:rsid w:val="000159DE"/>
    <w:rsid w:val="00020A51"/>
    <w:rsid w:val="00022B39"/>
    <w:rsid w:val="00043483"/>
    <w:rsid w:val="0004658A"/>
    <w:rsid w:val="00047713"/>
    <w:rsid w:val="00060F2B"/>
    <w:rsid w:val="0006494A"/>
    <w:rsid w:val="0007024C"/>
    <w:rsid w:val="00095A1A"/>
    <w:rsid w:val="000A5B85"/>
    <w:rsid w:val="000A6AED"/>
    <w:rsid w:val="000B17D4"/>
    <w:rsid w:val="000B7A3F"/>
    <w:rsid w:val="000C2022"/>
    <w:rsid w:val="000C41ED"/>
    <w:rsid w:val="000D73C8"/>
    <w:rsid w:val="000E1E88"/>
    <w:rsid w:val="000E3DEA"/>
    <w:rsid w:val="000E5D8E"/>
    <w:rsid w:val="001077C7"/>
    <w:rsid w:val="00111623"/>
    <w:rsid w:val="00113CB0"/>
    <w:rsid w:val="0012164E"/>
    <w:rsid w:val="00133ED2"/>
    <w:rsid w:val="00140F5C"/>
    <w:rsid w:val="0015463B"/>
    <w:rsid w:val="00162B5C"/>
    <w:rsid w:val="0016404C"/>
    <w:rsid w:val="00170A70"/>
    <w:rsid w:val="00170C1F"/>
    <w:rsid w:val="00171185"/>
    <w:rsid w:val="001816E3"/>
    <w:rsid w:val="00184463"/>
    <w:rsid w:val="00185821"/>
    <w:rsid w:val="001A58E6"/>
    <w:rsid w:val="001B44B5"/>
    <w:rsid w:val="001B6EED"/>
    <w:rsid w:val="001C6033"/>
    <w:rsid w:val="001D524E"/>
    <w:rsid w:val="001D65F9"/>
    <w:rsid w:val="001E5ABB"/>
    <w:rsid w:val="001F2D14"/>
    <w:rsid w:val="001F57F5"/>
    <w:rsid w:val="001F5CF0"/>
    <w:rsid w:val="002005EF"/>
    <w:rsid w:val="00203938"/>
    <w:rsid w:val="00205FFC"/>
    <w:rsid w:val="002064E6"/>
    <w:rsid w:val="002237BB"/>
    <w:rsid w:val="0022655F"/>
    <w:rsid w:val="00232DFF"/>
    <w:rsid w:val="00245690"/>
    <w:rsid w:val="00250E40"/>
    <w:rsid w:val="002604E5"/>
    <w:rsid w:val="00264AF4"/>
    <w:rsid w:val="00271EAF"/>
    <w:rsid w:val="00277A5B"/>
    <w:rsid w:val="00290301"/>
    <w:rsid w:val="002A43B7"/>
    <w:rsid w:val="002D61F7"/>
    <w:rsid w:val="002E1DDD"/>
    <w:rsid w:val="002E2087"/>
    <w:rsid w:val="00302A7D"/>
    <w:rsid w:val="00304857"/>
    <w:rsid w:val="00306431"/>
    <w:rsid w:val="00310EC2"/>
    <w:rsid w:val="00312F99"/>
    <w:rsid w:val="003226EE"/>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C7B17"/>
    <w:rsid w:val="003E1096"/>
    <w:rsid w:val="004026B4"/>
    <w:rsid w:val="004050E0"/>
    <w:rsid w:val="00413E87"/>
    <w:rsid w:val="0043650B"/>
    <w:rsid w:val="0044244F"/>
    <w:rsid w:val="00445E99"/>
    <w:rsid w:val="00451C53"/>
    <w:rsid w:val="004669FF"/>
    <w:rsid w:val="00476160"/>
    <w:rsid w:val="00490DB2"/>
    <w:rsid w:val="004A6662"/>
    <w:rsid w:val="004B064F"/>
    <w:rsid w:val="004B76F9"/>
    <w:rsid w:val="004B7FCE"/>
    <w:rsid w:val="004D06E3"/>
    <w:rsid w:val="004D184F"/>
    <w:rsid w:val="004E1C6D"/>
    <w:rsid w:val="004E708C"/>
    <w:rsid w:val="00501D92"/>
    <w:rsid w:val="0050236F"/>
    <w:rsid w:val="005159A8"/>
    <w:rsid w:val="0052056C"/>
    <w:rsid w:val="0054713A"/>
    <w:rsid w:val="00550447"/>
    <w:rsid w:val="005664E8"/>
    <w:rsid w:val="00595120"/>
    <w:rsid w:val="005A4365"/>
    <w:rsid w:val="005A4984"/>
    <w:rsid w:val="005A79DA"/>
    <w:rsid w:val="005B5DDF"/>
    <w:rsid w:val="005C0D66"/>
    <w:rsid w:val="005C29E7"/>
    <w:rsid w:val="005D375C"/>
    <w:rsid w:val="006049D5"/>
    <w:rsid w:val="00612F2F"/>
    <w:rsid w:val="0061727F"/>
    <w:rsid w:val="00640EBD"/>
    <w:rsid w:val="00662F7A"/>
    <w:rsid w:val="00663DDA"/>
    <w:rsid w:val="00665E16"/>
    <w:rsid w:val="006666EA"/>
    <w:rsid w:val="00686A84"/>
    <w:rsid w:val="00691E8A"/>
    <w:rsid w:val="006954A7"/>
    <w:rsid w:val="00696737"/>
    <w:rsid w:val="006A61AA"/>
    <w:rsid w:val="006B3767"/>
    <w:rsid w:val="006C0F11"/>
    <w:rsid w:val="006E1AC5"/>
    <w:rsid w:val="006E69E4"/>
    <w:rsid w:val="006F4F14"/>
    <w:rsid w:val="00714FCA"/>
    <w:rsid w:val="00717B29"/>
    <w:rsid w:val="00733F51"/>
    <w:rsid w:val="0075022F"/>
    <w:rsid w:val="00751E1F"/>
    <w:rsid w:val="007711C7"/>
    <w:rsid w:val="0077649D"/>
    <w:rsid w:val="00781931"/>
    <w:rsid w:val="00792F4D"/>
    <w:rsid w:val="007960A7"/>
    <w:rsid w:val="007B3511"/>
    <w:rsid w:val="007B50E1"/>
    <w:rsid w:val="007C0B65"/>
    <w:rsid w:val="007C15EB"/>
    <w:rsid w:val="007C4612"/>
    <w:rsid w:val="007D0045"/>
    <w:rsid w:val="007D1D13"/>
    <w:rsid w:val="007D5305"/>
    <w:rsid w:val="007E4FED"/>
    <w:rsid w:val="007F141F"/>
    <w:rsid w:val="00803886"/>
    <w:rsid w:val="00804EB7"/>
    <w:rsid w:val="00813049"/>
    <w:rsid w:val="00814389"/>
    <w:rsid w:val="00823823"/>
    <w:rsid w:val="008355A4"/>
    <w:rsid w:val="00847EA4"/>
    <w:rsid w:val="00850B25"/>
    <w:rsid w:val="00854115"/>
    <w:rsid w:val="00864E26"/>
    <w:rsid w:val="00893CA7"/>
    <w:rsid w:val="00896CD8"/>
    <w:rsid w:val="008B0C2C"/>
    <w:rsid w:val="008B77B1"/>
    <w:rsid w:val="008B7DD7"/>
    <w:rsid w:val="008C0443"/>
    <w:rsid w:val="008E2D69"/>
    <w:rsid w:val="008E7F91"/>
    <w:rsid w:val="008F1B31"/>
    <w:rsid w:val="0090776B"/>
    <w:rsid w:val="00910D3F"/>
    <w:rsid w:val="00924018"/>
    <w:rsid w:val="00940544"/>
    <w:rsid w:val="00940FD4"/>
    <w:rsid w:val="00941053"/>
    <w:rsid w:val="00946B56"/>
    <w:rsid w:val="0096028D"/>
    <w:rsid w:val="0096525F"/>
    <w:rsid w:val="009845FA"/>
    <w:rsid w:val="00986F04"/>
    <w:rsid w:val="009B17F2"/>
    <w:rsid w:val="009B6EFC"/>
    <w:rsid w:val="009C156B"/>
    <w:rsid w:val="009C21A5"/>
    <w:rsid w:val="009C7F7A"/>
    <w:rsid w:val="009D56A7"/>
    <w:rsid w:val="009D6727"/>
    <w:rsid w:val="009F373F"/>
    <w:rsid w:val="009F7E36"/>
    <w:rsid w:val="00A078B5"/>
    <w:rsid w:val="00A20C7D"/>
    <w:rsid w:val="00A24412"/>
    <w:rsid w:val="00A36896"/>
    <w:rsid w:val="00A4109D"/>
    <w:rsid w:val="00A43279"/>
    <w:rsid w:val="00A47510"/>
    <w:rsid w:val="00A61285"/>
    <w:rsid w:val="00A76C67"/>
    <w:rsid w:val="00A9078F"/>
    <w:rsid w:val="00AC70CE"/>
    <w:rsid w:val="00AD4351"/>
    <w:rsid w:val="00B04EFB"/>
    <w:rsid w:val="00B20FB4"/>
    <w:rsid w:val="00B21289"/>
    <w:rsid w:val="00B23CA0"/>
    <w:rsid w:val="00B24D34"/>
    <w:rsid w:val="00B4300C"/>
    <w:rsid w:val="00B44779"/>
    <w:rsid w:val="00B61548"/>
    <w:rsid w:val="00B67704"/>
    <w:rsid w:val="00B70A13"/>
    <w:rsid w:val="00B720F8"/>
    <w:rsid w:val="00B74043"/>
    <w:rsid w:val="00B87398"/>
    <w:rsid w:val="00B91ED9"/>
    <w:rsid w:val="00B92EC7"/>
    <w:rsid w:val="00B93CEB"/>
    <w:rsid w:val="00BA2616"/>
    <w:rsid w:val="00BA343A"/>
    <w:rsid w:val="00BC064B"/>
    <w:rsid w:val="00BC30D8"/>
    <w:rsid w:val="00BC7B6F"/>
    <w:rsid w:val="00BD6D9B"/>
    <w:rsid w:val="00BE204D"/>
    <w:rsid w:val="00BF4365"/>
    <w:rsid w:val="00C0653D"/>
    <w:rsid w:val="00C168AD"/>
    <w:rsid w:val="00C43CFE"/>
    <w:rsid w:val="00C447E4"/>
    <w:rsid w:val="00C50247"/>
    <w:rsid w:val="00C5033C"/>
    <w:rsid w:val="00C541DE"/>
    <w:rsid w:val="00C56EA0"/>
    <w:rsid w:val="00C97882"/>
    <w:rsid w:val="00CA394A"/>
    <w:rsid w:val="00CC2DB7"/>
    <w:rsid w:val="00CD124D"/>
    <w:rsid w:val="00CD5B8D"/>
    <w:rsid w:val="00CD653E"/>
    <w:rsid w:val="00CE33F1"/>
    <w:rsid w:val="00CE4F92"/>
    <w:rsid w:val="00CE4FDF"/>
    <w:rsid w:val="00D04068"/>
    <w:rsid w:val="00D147DF"/>
    <w:rsid w:val="00D15D33"/>
    <w:rsid w:val="00D20329"/>
    <w:rsid w:val="00D20BAD"/>
    <w:rsid w:val="00D20D97"/>
    <w:rsid w:val="00D2394A"/>
    <w:rsid w:val="00D3085F"/>
    <w:rsid w:val="00D33823"/>
    <w:rsid w:val="00D43F10"/>
    <w:rsid w:val="00D45027"/>
    <w:rsid w:val="00D5038D"/>
    <w:rsid w:val="00D748E0"/>
    <w:rsid w:val="00D90679"/>
    <w:rsid w:val="00D97A61"/>
    <w:rsid w:val="00DA0A94"/>
    <w:rsid w:val="00DB0AC8"/>
    <w:rsid w:val="00DB0CDA"/>
    <w:rsid w:val="00DB11CD"/>
    <w:rsid w:val="00DB4BD2"/>
    <w:rsid w:val="00DB5F57"/>
    <w:rsid w:val="00DC56E2"/>
    <w:rsid w:val="00DD1736"/>
    <w:rsid w:val="00DD7CAD"/>
    <w:rsid w:val="00DE36F2"/>
    <w:rsid w:val="00DE582B"/>
    <w:rsid w:val="00DF1859"/>
    <w:rsid w:val="00DF7E35"/>
    <w:rsid w:val="00E01451"/>
    <w:rsid w:val="00E066B1"/>
    <w:rsid w:val="00E133E5"/>
    <w:rsid w:val="00E23AB6"/>
    <w:rsid w:val="00E30C21"/>
    <w:rsid w:val="00E33728"/>
    <w:rsid w:val="00E41B99"/>
    <w:rsid w:val="00E67499"/>
    <w:rsid w:val="00EA056E"/>
    <w:rsid w:val="00EC4C9D"/>
    <w:rsid w:val="00EE1A7A"/>
    <w:rsid w:val="00EF296A"/>
    <w:rsid w:val="00EF3419"/>
    <w:rsid w:val="00F12EEA"/>
    <w:rsid w:val="00F21E74"/>
    <w:rsid w:val="00F23D7D"/>
    <w:rsid w:val="00F30FD3"/>
    <w:rsid w:val="00F3127E"/>
    <w:rsid w:val="00F435D3"/>
    <w:rsid w:val="00F45224"/>
    <w:rsid w:val="00F46AF4"/>
    <w:rsid w:val="00F950FA"/>
    <w:rsid w:val="00FA0C50"/>
    <w:rsid w:val="00FA6A2B"/>
    <w:rsid w:val="00FB6C70"/>
    <w:rsid w:val="00FD79B3"/>
    <w:rsid w:val="00FE52C8"/>
    <w:rsid w:val="00FE6F9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Collegamentoipertestuale">
    <w:name w:val="Hyperlink"/>
    <w:basedOn w:val="Carpredefinitoparagrafo"/>
    <w:uiPriority w:val="99"/>
    <w:semiHidden/>
    <w:unhideWhenUsed/>
    <w:rsid w:val="0096028D"/>
    <w:rPr>
      <w:color w:val="0000FF" w:themeColor="hyperlink"/>
      <w:u w:val="single"/>
    </w:rPr>
  </w:style>
  <w:style w:type="character" w:styleId="Rimandocommento">
    <w:name w:val="annotation reference"/>
    <w:basedOn w:val="Carpredefinitoparagrafo"/>
    <w:uiPriority w:val="99"/>
    <w:semiHidden/>
    <w:unhideWhenUsed/>
    <w:rsid w:val="006666EA"/>
    <w:rPr>
      <w:sz w:val="16"/>
      <w:szCs w:val="16"/>
    </w:rPr>
  </w:style>
  <w:style w:type="paragraph" w:styleId="Testocommento">
    <w:name w:val="annotation text"/>
    <w:basedOn w:val="Normale"/>
    <w:link w:val="TestocommentoCarattere"/>
    <w:uiPriority w:val="99"/>
    <w:unhideWhenUsed/>
    <w:rsid w:val="006666EA"/>
    <w:pPr>
      <w:spacing w:line="240" w:lineRule="auto"/>
    </w:pPr>
    <w:rPr>
      <w:sz w:val="20"/>
      <w:szCs w:val="20"/>
    </w:rPr>
  </w:style>
  <w:style w:type="character" w:customStyle="1" w:styleId="TestocommentoCarattere">
    <w:name w:val="Testo commento Carattere"/>
    <w:basedOn w:val="Carpredefinitoparagrafo"/>
    <w:link w:val="Testocommento"/>
    <w:uiPriority w:val="99"/>
    <w:rsid w:val="006666EA"/>
    <w:rPr>
      <w:sz w:val="20"/>
      <w:szCs w:val="20"/>
    </w:rPr>
  </w:style>
  <w:style w:type="paragraph" w:styleId="Soggettocommento">
    <w:name w:val="annotation subject"/>
    <w:basedOn w:val="Testocommento"/>
    <w:next w:val="Testocommento"/>
    <w:link w:val="SoggettocommentoCarattere"/>
    <w:uiPriority w:val="99"/>
    <w:semiHidden/>
    <w:unhideWhenUsed/>
    <w:rsid w:val="006666EA"/>
    <w:rPr>
      <w:b/>
      <w:bCs/>
    </w:rPr>
  </w:style>
  <w:style w:type="character" w:customStyle="1" w:styleId="SoggettocommentoCarattere">
    <w:name w:val="Soggetto commento Carattere"/>
    <w:basedOn w:val="TestocommentoCarattere"/>
    <w:link w:val="Soggettocommento"/>
    <w:uiPriority w:val="99"/>
    <w:semiHidden/>
    <w:rsid w:val="006666EA"/>
    <w:rPr>
      <w:b/>
      <w:bCs/>
      <w:sz w:val="20"/>
      <w:szCs w:val="20"/>
    </w:rPr>
  </w:style>
</w:styles>
</file>

<file path=word/webSettings.xml><?xml version="1.0" encoding="utf-8"?>
<w:webSettings xmlns:r="http://schemas.openxmlformats.org/officeDocument/2006/relationships" xmlns:w="http://schemas.openxmlformats.org/wordprocessingml/2006/main">
  <w:divs>
    <w:div w:id="28461074">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572275740">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005474748">
      <w:bodyDiv w:val="1"/>
      <w:marLeft w:val="0"/>
      <w:marRight w:val="0"/>
      <w:marTop w:val="0"/>
      <w:marBottom w:val="0"/>
      <w:divBdr>
        <w:top w:val="none" w:sz="0" w:space="0" w:color="auto"/>
        <w:left w:val="none" w:sz="0" w:space="0" w:color="auto"/>
        <w:bottom w:val="none" w:sz="0" w:space="0" w:color="auto"/>
        <w:right w:val="none" w:sz="0" w:space="0" w:color="auto"/>
      </w:divBdr>
    </w:div>
    <w:div w:id="16508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165.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F1CE-44CD-4442-B6B4-94615212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Pages>
  <Words>538</Words>
  <Characters>3069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86</cp:revision>
  <cp:lastPrinted>2023-10-19T13:09:00Z</cp:lastPrinted>
  <dcterms:created xsi:type="dcterms:W3CDTF">2023-10-10T09:41:00Z</dcterms:created>
  <dcterms:modified xsi:type="dcterms:W3CDTF">2026-07-01T06:43:00Z</dcterms:modified>
</cp:coreProperties>
</file>