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C64" w:rsidRDefault="00571C64" w:rsidP="00D20D97">
      <w:pPr>
        <w:pStyle w:val="Intestazione"/>
        <w:jc w:val="center"/>
        <w:rPr>
          <w:rFonts w:asciiTheme="majorHAnsi" w:eastAsiaTheme="majorEastAsia" w:hAnsiTheme="majorHAnsi" w:cstheme="majorBidi"/>
          <w:sz w:val="32"/>
          <w:szCs w:val="32"/>
        </w:rPr>
      </w:pPr>
    </w:p>
    <w:p w:rsidR="00D20D97" w:rsidRDefault="00D20D97" w:rsidP="00D20D97">
      <w:pPr>
        <w:pStyle w:val="Intestazione"/>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ENTI </w:t>
      </w:r>
      <w:r w:rsidR="00D427D1">
        <w:rPr>
          <w:rFonts w:asciiTheme="majorHAnsi" w:eastAsiaTheme="majorEastAsia" w:hAnsiTheme="majorHAnsi" w:cstheme="majorBidi"/>
          <w:sz w:val="32"/>
          <w:szCs w:val="32"/>
        </w:rPr>
        <w:t>PUBBLICI</w:t>
      </w:r>
      <w:r w:rsidRPr="00AE45ED">
        <w:rPr>
          <w:rStyle w:val="Rimandonotaapidipagina"/>
          <w:sz w:val="20"/>
        </w:rPr>
        <w:footnoteReference w:id="1"/>
      </w:r>
    </w:p>
    <w:p w:rsidR="00501D92" w:rsidRDefault="00501D92" w:rsidP="00D20D97">
      <w:pPr>
        <w:pStyle w:val="Intestazione"/>
        <w:jc w:val="center"/>
      </w:pPr>
    </w:p>
    <w:p w:rsidR="003A3014" w:rsidRDefault="003A3014" w:rsidP="00C0653D">
      <w:pPr>
        <w:spacing w:line="360" w:lineRule="auto"/>
        <w:jc w:val="both"/>
        <w:rPr>
          <w:rFonts w:ascii="Garamond" w:hAnsi="Garamond" w:cs="Times New Roman"/>
          <w:sz w:val="24"/>
          <w:szCs w:val="24"/>
        </w:rPr>
      </w:pPr>
    </w:p>
    <w:p w:rsidR="00113CB0" w:rsidRDefault="00C0653D" w:rsidP="002D61F7">
      <w:pPr>
        <w:jc w:val="both"/>
        <w:rPr>
          <w:rFonts w:ascii="Titillium" w:hAnsi="Titillium" w:cs="Titillium Web"/>
          <w:sz w:val="20"/>
          <w:szCs w:val="20"/>
        </w:rPr>
      </w:pPr>
      <w:r w:rsidRPr="00691E8A">
        <w:rPr>
          <w:rFonts w:ascii="Titillium" w:hAnsi="Titillium" w:cs="Titillium Web"/>
          <w:sz w:val="20"/>
          <w:szCs w:val="20"/>
        </w:rPr>
        <w:t>Il/La sottoscritto/a ______________________________</w:t>
      </w:r>
      <w:r w:rsidR="0054713A">
        <w:rPr>
          <w:rFonts w:ascii="Titillium" w:hAnsi="Titillium" w:cs="Titillium Web"/>
          <w:sz w:val="20"/>
          <w:szCs w:val="20"/>
        </w:rPr>
        <w:t xml:space="preserve"> </w:t>
      </w:r>
      <w:r w:rsidR="008B77B1">
        <w:rPr>
          <w:rFonts w:ascii="Titillium" w:hAnsi="Titillium" w:cs="Titillium Web"/>
          <w:sz w:val="20"/>
          <w:szCs w:val="20"/>
        </w:rPr>
        <w:t xml:space="preserve">con riferimento all’incarico </w:t>
      </w:r>
      <w:r w:rsidR="002E11DD">
        <w:rPr>
          <w:rFonts w:ascii="Titillium" w:hAnsi="Titillium" w:cs="Titillium Web"/>
          <w:sz w:val="20"/>
          <w:szCs w:val="20"/>
        </w:rPr>
        <w:t xml:space="preserve">oggetto di candidatura, </w:t>
      </w:r>
      <w:r w:rsidR="008B77B1">
        <w:rPr>
          <w:rFonts w:ascii="Titillium" w:hAnsi="Titillium" w:cs="Titillium Web"/>
          <w:sz w:val="20"/>
          <w:szCs w:val="20"/>
        </w:rPr>
        <w:t xml:space="preserve">di </w:t>
      </w:r>
      <w:r w:rsidRPr="00691E8A">
        <w:rPr>
          <w:rFonts w:ascii="Titillium" w:hAnsi="Titillium" w:cs="Titillium Web"/>
          <w:sz w:val="20"/>
          <w:szCs w:val="20"/>
        </w:rPr>
        <w:t>___________________________</w:t>
      </w:r>
      <w:r w:rsidR="002A43B7">
        <w:rPr>
          <w:rFonts w:ascii="Titillium" w:hAnsi="Titillium" w:cs="Titillium Web"/>
          <w:sz w:val="20"/>
          <w:szCs w:val="20"/>
        </w:rPr>
        <w:t>____________</w:t>
      </w:r>
      <w:r w:rsidR="008B77B1">
        <w:rPr>
          <w:rFonts w:ascii="Titillium" w:hAnsi="Titillium" w:cs="Titillium Web"/>
          <w:sz w:val="20"/>
          <w:szCs w:val="20"/>
        </w:rPr>
        <w:t xml:space="preserve">presso </w:t>
      </w:r>
      <w:r w:rsidR="00792F4D" w:rsidRPr="00691E8A">
        <w:rPr>
          <w:rFonts w:ascii="Titillium" w:hAnsi="Titillium" w:cs="Titillium Web"/>
          <w:sz w:val="20"/>
          <w:szCs w:val="20"/>
        </w:rPr>
        <w:t>______________________________</w:t>
      </w:r>
      <w:r w:rsidR="005B5DDF">
        <w:rPr>
          <w:rFonts w:ascii="Titillium" w:hAnsi="Titillium" w:cs="Titillium Web"/>
          <w:sz w:val="20"/>
          <w:szCs w:val="20"/>
        </w:rPr>
        <w:t xml:space="preserve"> </w:t>
      </w:r>
      <w:r w:rsidRPr="00691E8A">
        <w:rPr>
          <w:rFonts w:ascii="Titillium" w:hAnsi="Titillium" w:cs="Titillium Web"/>
          <w:sz w:val="20"/>
          <w:szCs w:val="20"/>
        </w:rPr>
        <w:t>,</w:t>
      </w:r>
      <w:r w:rsidR="00113CB0" w:rsidRPr="00113CB0">
        <w:rPr>
          <w:sz w:val="20"/>
        </w:rPr>
        <w:t xml:space="preserve"> </w:t>
      </w:r>
      <w:r w:rsidR="00113CB0" w:rsidRPr="00BD6D9B">
        <w:rPr>
          <w:rFonts w:ascii="Titillium" w:hAnsi="Titillium" w:cs="Titillium Web"/>
          <w:sz w:val="20"/>
          <w:szCs w:val="20"/>
        </w:rPr>
        <w:t>ai sensi delle disposizioni di cui agli articoli 46 e 47 del D.P.R. 28 dicembre 2000, n. 445 “Testo unico delle disposizioni legislative e regolamentari in materia di documentazione amministrativa”, nonché a</w:t>
      </w:r>
      <w:r w:rsidR="00113CB0" w:rsidRPr="00113CB0">
        <w:rPr>
          <w:rFonts w:ascii="Titillium" w:hAnsi="Titillium" w:cs="Titillium Web"/>
          <w:sz w:val="20"/>
          <w:szCs w:val="20"/>
        </w:rPr>
        <w:t xml:space="preserve">i sensi dell’art. 20 del d.lgs. n. 39 dell’08.04.2013, consapevole delle responsabilità penali in caso di dichiarazioni mendaci, falsità in atti e uso di atti falsi, di cui agli articoli 75 e 76 del citato D.P.R. n. 445/2000, nonché delle sanzioni di cui all’art. 20, comma </w:t>
      </w:r>
      <w:r w:rsidR="00113CB0" w:rsidRPr="00C541DE">
        <w:rPr>
          <w:rFonts w:ascii="Titillium" w:hAnsi="Titillium" w:cs="Titillium Web"/>
          <w:sz w:val="20"/>
          <w:szCs w:val="20"/>
        </w:rPr>
        <w:t>5</w:t>
      </w:r>
      <w:r w:rsidR="003440FD" w:rsidRPr="00C541DE">
        <w:rPr>
          <w:rFonts w:ascii="Titillium" w:hAnsi="Titillium" w:cs="Titillium Web"/>
          <w:sz w:val="20"/>
          <w:szCs w:val="20"/>
        </w:rPr>
        <w:t>,</w:t>
      </w:r>
      <w:r w:rsidR="00113CB0" w:rsidRPr="00C541DE">
        <w:rPr>
          <w:rFonts w:ascii="Titillium" w:hAnsi="Titillium" w:cs="Titillium Web"/>
          <w:sz w:val="20"/>
          <w:szCs w:val="20"/>
        </w:rPr>
        <w:t xml:space="preserve"> del</w:t>
      </w:r>
      <w:r w:rsidR="00113CB0" w:rsidRPr="00113CB0">
        <w:rPr>
          <w:rFonts w:ascii="Titillium" w:hAnsi="Titillium" w:cs="Titillium Web"/>
          <w:sz w:val="20"/>
          <w:szCs w:val="20"/>
        </w:rPr>
        <w:t xml:space="preserve"> d.lgs. n. 39 dell’08.04.2013</w:t>
      </w:r>
      <w:r w:rsidR="001F57F5">
        <w:rPr>
          <w:rFonts w:ascii="Titillium" w:hAnsi="Titillium" w:cs="Titillium Web"/>
          <w:sz w:val="20"/>
          <w:szCs w:val="20"/>
        </w:rPr>
        <w:t xml:space="preserve"> </w:t>
      </w:r>
    </w:p>
    <w:p w:rsidR="00B164E1" w:rsidRDefault="00C0653D" w:rsidP="00FB7482">
      <w:pPr>
        <w:spacing w:line="360" w:lineRule="auto"/>
        <w:jc w:val="center"/>
        <w:rPr>
          <w:rFonts w:ascii="Titillium" w:hAnsi="Titillium" w:cs="Titillium Web"/>
          <w:sz w:val="20"/>
          <w:szCs w:val="20"/>
        </w:rPr>
      </w:pPr>
      <w:r w:rsidRPr="004534B6">
        <w:rPr>
          <w:rFonts w:ascii="Titillium" w:hAnsi="Titillium" w:cs="Titillium Web"/>
          <w:b/>
          <w:bCs/>
          <w:sz w:val="20"/>
          <w:szCs w:val="20"/>
        </w:rPr>
        <w:t>DICH</w:t>
      </w:r>
      <w:r w:rsidR="00095A1A" w:rsidRPr="004534B6">
        <w:rPr>
          <w:rFonts w:ascii="Titillium" w:hAnsi="Titillium" w:cs="Titillium Web"/>
          <w:b/>
          <w:bCs/>
          <w:sz w:val="20"/>
          <w:szCs w:val="20"/>
        </w:rPr>
        <w:t>IARA</w:t>
      </w:r>
      <w:r w:rsidR="00B504E1" w:rsidRPr="006A61AA">
        <w:rPr>
          <w:rStyle w:val="Rimandonotaapidipagina"/>
          <w:rFonts w:ascii="Titillium" w:hAnsi="Titillium"/>
          <w:sz w:val="20"/>
        </w:rPr>
        <w:footnoteReference w:id="2"/>
      </w:r>
    </w:p>
    <w:p w:rsidR="005B5DDF" w:rsidRDefault="00170C1F" w:rsidP="002D61F7">
      <w:pPr>
        <w:tabs>
          <w:tab w:val="left" w:pos="142"/>
        </w:tabs>
        <w:spacing w:line="360" w:lineRule="auto"/>
        <w:jc w:val="both"/>
        <w:rPr>
          <w:rFonts w:ascii="Titillium" w:hAnsi="Titillium" w:cs="Titillium Web"/>
          <w:sz w:val="20"/>
          <w:szCs w:val="20"/>
        </w:rPr>
      </w:pPr>
      <w:r>
        <w:rPr>
          <w:rFonts w:ascii="Titillium" w:hAnsi="Titillium" w:cs="Titillium Web"/>
          <w:sz w:val="20"/>
          <w:szCs w:val="20"/>
        </w:rPr>
        <w:t>l’</w:t>
      </w:r>
      <w:r w:rsidRPr="00170C1F">
        <w:rPr>
          <w:rFonts w:ascii="Titillium" w:hAnsi="Titillium" w:cs="Titillium Web"/>
          <w:b/>
          <w:bCs/>
          <w:sz w:val="20"/>
          <w:szCs w:val="20"/>
        </w:rPr>
        <w:t>insussistenza</w:t>
      </w:r>
      <w:r w:rsidR="0015463B" w:rsidRPr="00022B39">
        <w:rPr>
          <w:rFonts w:ascii="Titillium" w:hAnsi="Titillium" w:cs="Titillium Web"/>
          <w:sz w:val="20"/>
          <w:szCs w:val="20"/>
        </w:rPr>
        <w:t xml:space="preserve"> delle </w:t>
      </w:r>
      <w:r>
        <w:rPr>
          <w:rFonts w:ascii="Titillium" w:hAnsi="Titillium" w:cs="Titillium Web"/>
          <w:sz w:val="20"/>
          <w:szCs w:val="20"/>
        </w:rPr>
        <w:t xml:space="preserve">seguenti </w:t>
      </w:r>
      <w:r w:rsidR="0015463B" w:rsidRPr="00022B39">
        <w:rPr>
          <w:rFonts w:ascii="Titillium" w:hAnsi="Titillium" w:cs="Titillium Web"/>
          <w:sz w:val="20"/>
          <w:szCs w:val="20"/>
        </w:rPr>
        <w:t xml:space="preserve">situazioni </w:t>
      </w:r>
      <w:r w:rsidRPr="00022B39">
        <w:rPr>
          <w:rFonts w:ascii="Titillium" w:hAnsi="Titillium" w:cs="Titillium Web"/>
          <w:sz w:val="20"/>
          <w:szCs w:val="20"/>
        </w:rPr>
        <w:t xml:space="preserve">di </w:t>
      </w:r>
      <w:r w:rsidRPr="00022B39">
        <w:rPr>
          <w:rFonts w:ascii="Titillium" w:hAnsi="Titillium" w:cs="Titillium Web"/>
          <w:b/>
          <w:sz w:val="20"/>
          <w:szCs w:val="20"/>
        </w:rPr>
        <w:t>INCOMPATIBILITA’</w:t>
      </w:r>
      <w:r w:rsidRPr="00022B39">
        <w:rPr>
          <w:rFonts w:ascii="Titillium" w:hAnsi="Titillium" w:cs="Titillium Web"/>
          <w:sz w:val="20"/>
          <w:szCs w:val="20"/>
        </w:rPr>
        <w:t xml:space="preserve"> disciplinate dal d.lgs. n. 39/2013 </w:t>
      </w:r>
      <w:r w:rsidR="00501D92">
        <w:rPr>
          <w:rFonts w:ascii="Titillium" w:hAnsi="Titillium" w:cs="Titillium Web"/>
          <w:sz w:val="20"/>
          <w:szCs w:val="20"/>
        </w:rPr>
        <w:t>in ragione della tipologia di incarico assunto</w:t>
      </w:r>
      <w:r w:rsidR="005B5DDF">
        <w:rPr>
          <w:rFonts w:ascii="Titillium" w:hAnsi="Titillium" w:cs="Titillium Web"/>
          <w:sz w:val="20"/>
          <w:szCs w:val="20"/>
        </w:rPr>
        <w:t>:</w:t>
      </w:r>
    </w:p>
    <w:p w:rsidR="00501D92" w:rsidRDefault="00170C1F" w:rsidP="002D61F7">
      <w:pPr>
        <w:pStyle w:val="Paragrafoelenco"/>
        <w:numPr>
          <w:ilvl w:val="0"/>
          <w:numId w:val="33"/>
        </w:numPr>
        <w:tabs>
          <w:tab w:val="left" w:pos="142"/>
        </w:tabs>
        <w:spacing w:line="360" w:lineRule="auto"/>
        <w:ind w:left="426" w:hanging="426"/>
        <w:jc w:val="both"/>
        <w:rPr>
          <w:rFonts w:ascii="Titillium" w:hAnsi="Titillium" w:cs="Titillium Web"/>
          <w:b/>
          <w:bCs/>
          <w:sz w:val="20"/>
          <w:szCs w:val="20"/>
          <w:u w:val="single"/>
        </w:rPr>
      </w:pPr>
      <w:bookmarkStart w:id="0" w:name="_Hlk178075844"/>
      <w:r>
        <w:rPr>
          <w:rFonts w:ascii="Titillium" w:hAnsi="Titillium" w:cs="Titillium Web"/>
          <w:b/>
          <w:bCs/>
          <w:sz w:val="20"/>
          <w:szCs w:val="20"/>
          <w:u w:val="single"/>
        </w:rPr>
        <w:t xml:space="preserve">Sezione valida per gli incarichi di </w:t>
      </w:r>
      <w:bookmarkEnd w:id="0"/>
      <w:r w:rsidR="00501D92" w:rsidRPr="00501D92">
        <w:rPr>
          <w:rFonts w:ascii="Titillium" w:hAnsi="Titillium" w:cs="Titillium Web"/>
          <w:b/>
          <w:bCs/>
          <w:sz w:val="20"/>
          <w:szCs w:val="20"/>
          <w:u w:val="single"/>
        </w:rPr>
        <w:t xml:space="preserve">Amministratore di ente </w:t>
      </w:r>
      <w:r w:rsidR="00D427D1">
        <w:rPr>
          <w:rFonts w:ascii="Titillium" w:hAnsi="Titillium" w:cs="Titillium Web"/>
          <w:b/>
          <w:bCs/>
          <w:sz w:val="20"/>
          <w:szCs w:val="20"/>
          <w:u w:val="single"/>
        </w:rPr>
        <w:t>pubblico</w:t>
      </w:r>
    </w:p>
    <w:p w:rsidR="00501D92" w:rsidRPr="00501D92" w:rsidRDefault="00501D92" w:rsidP="002D61F7">
      <w:pPr>
        <w:pStyle w:val="Paragrafoelenco"/>
        <w:tabs>
          <w:tab w:val="left" w:pos="142"/>
        </w:tabs>
        <w:spacing w:line="360" w:lineRule="auto"/>
        <w:jc w:val="both"/>
        <w:rPr>
          <w:rFonts w:ascii="Titillium" w:hAnsi="Titillium" w:cs="Titillium Web"/>
          <w:b/>
          <w:bCs/>
          <w:sz w:val="20"/>
          <w:szCs w:val="20"/>
          <w:u w:val="single"/>
        </w:rPr>
      </w:pPr>
    </w:p>
    <w:p w:rsidR="005B5DDF" w:rsidRPr="00571C64" w:rsidRDefault="005B5DDF" w:rsidP="002D61F7">
      <w:pPr>
        <w:pStyle w:val="Paragrafoelenco"/>
        <w:numPr>
          <w:ilvl w:val="1"/>
          <w:numId w:val="35"/>
        </w:numPr>
        <w:tabs>
          <w:tab w:val="left" w:pos="142"/>
        </w:tabs>
        <w:spacing w:line="360" w:lineRule="auto"/>
        <w:jc w:val="both"/>
        <w:rPr>
          <w:rFonts w:ascii="Titillium" w:hAnsi="Titillium" w:cs="Titillium Web"/>
          <w:i/>
          <w:iCs/>
          <w:sz w:val="20"/>
          <w:szCs w:val="20"/>
        </w:rPr>
      </w:pPr>
      <w:r w:rsidRPr="00571C64">
        <w:rPr>
          <w:rFonts w:ascii="Titillium" w:hAnsi="Titillium" w:cs="Titillium Web"/>
          <w:b/>
          <w:bCs/>
          <w:i/>
          <w:iCs/>
          <w:sz w:val="20"/>
          <w:szCs w:val="20"/>
        </w:rPr>
        <w:t>Incompatibilit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con lo svolgimento di attivit</w:t>
      </w:r>
      <w:r w:rsidRPr="00571C64">
        <w:rPr>
          <w:rFonts w:ascii="Titillium" w:hAnsi="Titillium" w:cs="Titillium"/>
          <w:b/>
          <w:bCs/>
          <w:i/>
          <w:iCs/>
          <w:sz w:val="20"/>
          <w:szCs w:val="20"/>
        </w:rPr>
        <w:t>à</w:t>
      </w:r>
      <w:r w:rsidRPr="00571C64">
        <w:rPr>
          <w:rFonts w:ascii="Titillium" w:hAnsi="Titillium" w:cs="Titillium Web"/>
          <w:b/>
          <w:bCs/>
          <w:i/>
          <w:iCs/>
          <w:sz w:val="20"/>
          <w:szCs w:val="20"/>
        </w:rPr>
        <w:t xml:space="preserve"> professionali:</w:t>
      </w:r>
    </w:p>
    <w:p w:rsidR="00501D92" w:rsidRPr="00501D92" w:rsidRDefault="00501D92" w:rsidP="002D61F7">
      <w:pPr>
        <w:pStyle w:val="Paragrafoelenco"/>
        <w:tabs>
          <w:tab w:val="left" w:pos="142"/>
        </w:tabs>
        <w:spacing w:line="360" w:lineRule="auto"/>
        <w:ind w:left="360"/>
        <w:jc w:val="both"/>
        <w:rPr>
          <w:rFonts w:ascii="Titillium" w:hAnsi="Titillium" w:cs="Titillium Web"/>
          <w:sz w:val="20"/>
          <w:szCs w:val="20"/>
        </w:rPr>
      </w:pPr>
    </w:p>
    <w:p w:rsidR="00461694" w:rsidRDefault="00774603" w:rsidP="00FB7482">
      <w:pPr>
        <w:pStyle w:val="Paragrafoelenco"/>
        <w:numPr>
          <w:ilvl w:val="0"/>
          <w:numId w:val="29"/>
        </w:numPr>
        <w:ind w:left="709" w:hanging="283"/>
        <w:contextualSpacing w:val="0"/>
        <w:jc w:val="both"/>
        <w:rPr>
          <w:rFonts w:ascii="Titillium" w:hAnsi="Titillium"/>
          <w:sz w:val="20"/>
        </w:rPr>
      </w:pPr>
      <w:r w:rsidRPr="00774603">
        <w:rPr>
          <w:rFonts w:ascii="Titillium" w:hAnsi="Titillium"/>
          <w:noProof/>
          <w:lang w:eastAsia="it-IT"/>
        </w:rPr>
        <w:pict>
          <v:rect id="Rettangolo 2" o:spid="_x0000_s2057" style="position:absolute;left:0;text-align:left;margin-left:21.05pt;margin-top:2.85pt;width:7.25pt;height: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" fillcolor="white [3212]" strokecolor="#243f60 [1604]" strokeweight="2pt"/>
        </w:pict>
      </w:r>
      <w:r w:rsidR="00B91ED9">
        <w:rPr>
          <w:rFonts w:ascii="Titillium" w:hAnsi="Titillium"/>
          <w:sz w:val="20"/>
        </w:rPr>
        <w:t xml:space="preserve"> </w:t>
      </w:r>
      <w:r w:rsidR="00170C1F">
        <w:rPr>
          <w:rFonts w:ascii="Titillium" w:hAnsi="Titillium"/>
          <w:sz w:val="20"/>
        </w:rPr>
        <w:t xml:space="preserve">Insussistenza ipotesi </w:t>
      </w:r>
      <w:r w:rsidR="00095A1A" w:rsidRPr="006A61AA">
        <w:rPr>
          <w:rFonts w:ascii="Titillium" w:hAnsi="Titillium"/>
          <w:sz w:val="20"/>
        </w:rPr>
        <w:t>art. 9, comma 2</w:t>
      </w:r>
      <w:r w:rsidR="00B504E1" w:rsidRPr="006A61AA">
        <w:rPr>
          <w:rStyle w:val="Rimandonotaapidipagina"/>
          <w:rFonts w:ascii="Titillium" w:hAnsi="Titillium"/>
          <w:sz w:val="20"/>
        </w:rPr>
        <w:footnoteReference w:id="3"/>
      </w:r>
      <w:r w:rsidR="00095A1A" w:rsidRPr="006A61AA">
        <w:rPr>
          <w:rFonts w:ascii="Titillium" w:hAnsi="Titillium"/>
          <w:sz w:val="20"/>
        </w:rPr>
        <w:t>, del d.lgs. n. 39/2013;</w:t>
      </w:r>
    </w:p>
    <w:p w:rsidR="004534B6" w:rsidRPr="00FE072E" w:rsidRDefault="004534B6" w:rsidP="00FE072E">
      <w:pPr>
        <w:jc w:val="both"/>
        <w:rPr>
          <w:rFonts w:ascii="Titillium" w:hAnsi="Titillium"/>
          <w:sz w:val="20"/>
        </w:rPr>
      </w:pPr>
    </w:p>
    <w:p w:rsidR="00501D92" w:rsidRPr="00571C64" w:rsidRDefault="00501D92" w:rsidP="002D61F7">
      <w:pPr>
        <w:pStyle w:val="Paragrafoelenco"/>
        <w:numPr>
          <w:ilvl w:val="1"/>
          <w:numId w:val="34"/>
        </w:numPr>
        <w:jc w:val="both"/>
        <w:rPr>
          <w:rFonts w:ascii="Titillium" w:hAnsi="Titillium"/>
          <w:i/>
          <w:iCs/>
          <w:sz w:val="20"/>
        </w:rPr>
      </w:pPr>
      <w:r w:rsidRPr="00571C64">
        <w:rPr>
          <w:rFonts w:ascii="Titillium" w:hAnsi="Titillium"/>
          <w:b/>
          <w:bCs/>
          <w:i/>
          <w:iCs/>
          <w:sz w:val="20"/>
        </w:rPr>
        <w:t>Incompatibilità con le cariche di componenti degli organi di indirizzo politico nelle amministrazioni statali, regionali e locali:</w:t>
      </w:r>
    </w:p>
    <w:p w:rsidR="00501D92" w:rsidRPr="00501D92" w:rsidRDefault="00501D92" w:rsidP="002D61F7">
      <w:pPr>
        <w:pStyle w:val="Paragrafoelenco"/>
        <w:ind w:left="360"/>
        <w:jc w:val="both"/>
        <w:rPr>
          <w:rFonts w:ascii="Titillium" w:hAnsi="Titillium"/>
          <w:sz w:val="20"/>
        </w:rPr>
      </w:pPr>
    </w:p>
    <w:p w:rsidR="00501D92" w:rsidRPr="007418CA" w:rsidRDefault="00170C1F" w:rsidP="002D61F7">
      <w:pPr>
        <w:pStyle w:val="Paragrafoelenco"/>
        <w:numPr>
          <w:ilvl w:val="0"/>
          <w:numId w:val="29"/>
        </w:numPr>
        <w:ind w:left="709" w:hanging="283"/>
        <w:contextualSpacing w:val="0"/>
        <w:jc w:val="both"/>
        <w:rPr>
          <w:rFonts w:ascii="Titillium" w:hAnsi="Titillium"/>
          <w:strike/>
          <w:sz w:val="20"/>
        </w:rPr>
      </w:pPr>
      <w:bookmarkStart w:id="1" w:name="_Hlk178075885"/>
      <w:r w:rsidRPr="00170C1F">
        <w:rPr>
          <w:rFonts w:ascii="Titillium" w:hAnsi="Titillium"/>
          <w:sz w:val="20"/>
        </w:rPr>
        <w:lastRenderedPageBreak/>
        <w:t xml:space="preserve">Insussistenza </w:t>
      </w:r>
      <w:r w:rsidR="00774603" w:rsidRPr="00774603">
        <w:rPr>
          <w:rFonts w:ascii="Titillium" w:hAnsi="Titillium"/>
          <w:noProof/>
          <w:lang w:eastAsia="it-IT"/>
        </w:rPr>
        <w:pict>
          <v:rect id="Rettangolo 12741748" o:spid="_x0000_s2056" style="position:absolute;left:0;text-align:left;margin-left:22.5pt;margin-top:2.6pt;width:7.25pt;height: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bookmarkEnd w:id="1"/>
      <w:r w:rsidR="00501D92" w:rsidRPr="006A61AA">
        <w:rPr>
          <w:rFonts w:ascii="Titillium" w:hAnsi="Titillium"/>
          <w:sz w:val="20"/>
        </w:rPr>
        <w:t>art. 1</w:t>
      </w:r>
      <w:r w:rsidR="00461694">
        <w:rPr>
          <w:rFonts w:ascii="Titillium" w:hAnsi="Titillium"/>
          <w:sz w:val="20"/>
        </w:rPr>
        <w:t>1</w:t>
      </w:r>
      <w:r w:rsidR="00501D92" w:rsidRPr="006A61AA">
        <w:rPr>
          <w:rFonts w:ascii="Titillium" w:hAnsi="Titillium"/>
          <w:sz w:val="20"/>
        </w:rPr>
        <w:t>, comm</w:t>
      </w:r>
      <w:r w:rsidR="00501D92">
        <w:rPr>
          <w:rFonts w:ascii="Titillium" w:hAnsi="Titillium"/>
          <w:sz w:val="20"/>
        </w:rPr>
        <w:t>a 1</w:t>
      </w:r>
      <w:r w:rsidR="00501D92">
        <w:rPr>
          <w:rStyle w:val="Rimandonotaapidipagina"/>
          <w:rFonts w:ascii="Titillium" w:hAnsi="Titillium"/>
          <w:sz w:val="20"/>
        </w:rPr>
        <w:footnoteReference w:id="4"/>
      </w:r>
      <w:r w:rsidR="00501D92">
        <w:rPr>
          <w:rFonts w:ascii="Titillium" w:hAnsi="Titillium"/>
          <w:sz w:val="20"/>
        </w:rPr>
        <w:t xml:space="preserve">, </w:t>
      </w:r>
      <w:r w:rsidR="00501D92" w:rsidRPr="00060F2B">
        <w:rPr>
          <w:rFonts w:ascii="Titillium" w:hAnsi="Titillium"/>
          <w:sz w:val="20"/>
        </w:rPr>
        <w:t>del d.lgs. n. 39</w:t>
      </w:r>
      <w:r w:rsidR="00501D92" w:rsidRPr="007418CA">
        <w:rPr>
          <w:rFonts w:ascii="Titillium" w:hAnsi="Titillium"/>
          <w:sz w:val="20"/>
        </w:rPr>
        <w:t>/2013</w:t>
      </w:r>
      <w:r w:rsidR="002D61F7" w:rsidRPr="007418CA">
        <w:rPr>
          <w:rFonts w:ascii="Titillium" w:hAnsi="Titillium"/>
          <w:strike/>
          <w:sz w:val="20"/>
        </w:rPr>
        <w:t>;</w:t>
      </w:r>
    </w:p>
    <w:p w:rsidR="00501D92" w:rsidRPr="004534B6" w:rsidRDefault="00501D92" w:rsidP="004534B6">
      <w:pPr>
        <w:ind w:left="426"/>
        <w:jc w:val="both"/>
        <w:rPr>
          <w:rFonts w:ascii="Titillium" w:hAnsi="Titillium"/>
          <w:b/>
          <w:bCs/>
          <w:i/>
          <w:iCs/>
          <w:sz w:val="20"/>
        </w:rPr>
      </w:pPr>
    </w:p>
    <w:p w:rsidR="00501D92"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sidR="00774603" w:rsidRPr="00774603">
        <w:rPr>
          <w:rFonts w:ascii="Titillium" w:hAnsi="Titillium"/>
          <w:noProof/>
          <w:lang w:eastAsia="it-IT"/>
        </w:rPr>
        <w:pict>
          <v:rect id="Rettangolo 455898790" o:spid="_x0000_s2055" style="position:absolute;left:0;text-align:left;margin-left:22.5pt;margin-top:2.6pt;width:7.25pt;height:8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501D92">
        <w:rPr>
          <w:rFonts w:ascii="Titillium" w:hAnsi="Titillium"/>
          <w:sz w:val="20"/>
        </w:rPr>
        <w:t>art. 1</w:t>
      </w:r>
      <w:r w:rsidR="00461694">
        <w:rPr>
          <w:rFonts w:ascii="Titillium" w:hAnsi="Titillium"/>
          <w:sz w:val="20"/>
        </w:rPr>
        <w:t>1</w:t>
      </w:r>
      <w:r w:rsidR="00501D92">
        <w:rPr>
          <w:rFonts w:ascii="Titillium" w:hAnsi="Titillium"/>
          <w:sz w:val="20"/>
        </w:rPr>
        <w:t xml:space="preserve">, comma 2 </w:t>
      </w:r>
      <w:r w:rsidR="00501D92">
        <w:rPr>
          <w:rStyle w:val="Rimandonotaapidipagina"/>
          <w:rFonts w:ascii="Titillium" w:hAnsi="Titillium"/>
          <w:sz w:val="20"/>
        </w:rPr>
        <w:footnoteReference w:id="5"/>
      </w:r>
      <w:r w:rsidR="00501D92">
        <w:rPr>
          <w:rFonts w:ascii="Titillium" w:hAnsi="Titillium"/>
          <w:sz w:val="20"/>
        </w:rPr>
        <w:t xml:space="preserve">, </w:t>
      </w:r>
      <w:r w:rsidR="00501D92" w:rsidRPr="00060F2B">
        <w:rPr>
          <w:rFonts w:ascii="Titillium" w:hAnsi="Titillium"/>
          <w:sz w:val="20"/>
        </w:rPr>
        <w:t>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501D92">
        <w:rPr>
          <w:rFonts w:ascii="Titillium" w:hAnsi="Titillium"/>
          <w:sz w:val="20"/>
        </w:rPr>
        <w:t xml:space="preserve">un ente </w:t>
      </w:r>
      <w:r w:rsidR="00461694">
        <w:rPr>
          <w:rFonts w:ascii="Titillium" w:hAnsi="Titillium"/>
          <w:sz w:val="20"/>
        </w:rPr>
        <w:t xml:space="preserve">pubblico </w:t>
      </w:r>
      <w:r w:rsidR="002D61F7">
        <w:rPr>
          <w:rFonts w:ascii="Titillium" w:hAnsi="Titillium"/>
          <w:sz w:val="20"/>
        </w:rPr>
        <w:t xml:space="preserve">di livello </w:t>
      </w:r>
      <w:r w:rsidR="00501D92">
        <w:rPr>
          <w:rFonts w:ascii="Titillium" w:hAnsi="Titillium"/>
          <w:sz w:val="20"/>
        </w:rPr>
        <w:t>regionale</w:t>
      </w:r>
      <w:r w:rsidR="002D61F7">
        <w:rPr>
          <w:rFonts w:ascii="Titillium" w:hAnsi="Titillium"/>
          <w:sz w:val="20"/>
        </w:rPr>
        <w:t>;</w:t>
      </w:r>
    </w:p>
    <w:p w:rsidR="00501D92" w:rsidRPr="00501D92" w:rsidRDefault="00501D92" w:rsidP="002D61F7">
      <w:pPr>
        <w:pStyle w:val="Paragrafoelenco"/>
        <w:numPr>
          <w:ilvl w:val="0"/>
          <w:numId w:val="29"/>
        </w:numPr>
        <w:ind w:left="709" w:hanging="283"/>
        <w:contextualSpacing w:val="0"/>
        <w:jc w:val="both"/>
        <w:rPr>
          <w:rFonts w:ascii="Titillium" w:hAnsi="Titillium"/>
          <w:b/>
          <w:bCs/>
          <w:i/>
          <w:iCs/>
          <w:sz w:val="20"/>
        </w:rPr>
      </w:pPr>
      <w:r w:rsidRPr="00501D92">
        <w:rPr>
          <w:rFonts w:ascii="Titillium" w:hAnsi="Titillium"/>
          <w:b/>
          <w:bCs/>
          <w:i/>
          <w:iCs/>
          <w:sz w:val="20"/>
        </w:rPr>
        <w:t>o</w:t>
      </w:r>
      <w:r w:rsidR="008E238B">
        <w:rPr>
          <w:rFonts w:ascii="Titillium" w:hAnsi="Titillium"/>
          <w:b/>
          <w:bCs/>
          <w:i/>
          <w:iCs/>
          <w:sz w:val="20"/>
        </w:rPr>
        <w:t>ppure</w:t>
      </w:r>
    </w:p>
    <w:p w:rsidR="002D61F7" w:rsidRDefault="00170C1F" w:rsidP="002D61F7">
      <w:pPr>
        <w:pStyle w:val="Paragrafoelenco"/>
        <w:numPr>
          <w:ilvl w:val="0"/>
          <w:numId w:val="29"/>
        </w:numPr>
        <w:ind w:left="709" w:hanging="283"/>
        <w:contextualSpacing w:val="0"/>
        <w:jc w:val="both"/>
        <w:rPr>
          <w:rFonts w:ascii="Titillium" w:hAnsi="Titillium"/>
          <w:sz w:val="20"/>
        </w:rPr>
      </w:pPr>
      <w:r w:rsidRPr="00170C1F">
        <w:rPr>
          <w:rFonts w:ascii="Titillium" w:hAnsi="Titillium"/>
          <w:sz w:val="20"/>
        </w:rPr>
        <w:t xml:space="preserve">Insussistenza </w:t>
      </w:r>
      <w:r>
        <w:rPr>
          <w:rFonts w:ascii="Titillium" w:hAnsi="Titillium"/>
          <w:sz w:val="20"/>
        </w:rPr>
        <w:t xml:space="preserve">ipotesi </w:t>
      </w:r>
      <w:r w:rsidR="00774603" w:rsidRPr="00774603">
        <w:rPr>
          <w:rFonts w:ascii="Titillium" w:hAnsi="Titillium"/>
          <w:noProof/>
          <w:lang w:eastAsia="it-IT"/>
        </w:rPr>
        <w:pict>
          <v:rect id="Rettangolo 1507185719" o:spid="_x0000_s2054" style="position:absolute;left:0;text-align:left;margin-left:22.5pt;margin-top:2pt;width:7.25pt;height:8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" fillcolor="window" strokecolor="#385d8a" strokeweight="2pt"/>
        </w:pict>
      </w:r>
      <w:r w:rsidR="00501D92" w:rsidRPr="00060F2B">
        <w:rPr>
          <w:rFonts w:ascii="Titillium" w:hAnsi="Titillium"/>
          <w:sz w:val="20"/>
        </w:rPr>
        <w:t>art. 1</w:t>
      </w:r>
      <w:r w:rsidR="00461694">
        <w:rPr>
          <w:rFonts w:ascii="Titillium" w:hAnsi="Titillium"/>
          <w:sz w:val="20"/>
        </w:rPr>
        <w:t>1</w:t>
      </w:r>
      <w:r w:rsidR="00501D92" w:rsidRPr="00060F2B">
        <w:rPr>
          <w:rFonts w:ascii="Titillium" w:hAnsi="Titillium"/>
          <w:sz w:val="20"/>
        </w:rPr>
        <w:t>,</w:t>
      </w:r>
      <w:r w:rsidR="00501D92" w:rsidRPr="00022B39">
        <w:rPr>
          <w:rFonts w:ascii="Titillium" w:hAnsi="Titillium"/>
          <w:sz w:val="20"/>
        </w:rPr>
        <w:t xml:space="preserve"> comma</w:t>
      </w:r>
      <w:r w:rsidR="00501D92" w:rsidRPr="00060F2B">
        <w:rPr>
          <w:rFonts w:ascii="Titillium" w:hAnsi="Titillium"/>
          <w:sz w:val="20"/>
        </w:rPr>
        <w:t xml:space="preserve"> 3</w:t>
      </w:r>
      <w:r w:rsidR="00501D92">
        <w:rPr>
          <w:rFonts w:ascii="Titillium" w:hAnsi="Titillium"/>
          <w:sz w:val="20"/>
        </w:rPr>
        <w:t xml:space="preserve"> </w:t>
      </w:r>
      <w:r w:rsidR="00501D92">
        <w:rPr>
          <w:rStyle w:val="Rimandonotaapidipagina"/>
          <w:rFonts w:ascii="Titillium" w:hAnsi="Titillium"/>
          <w:sz w:val="20"/>
        </w:rPr>
        <w:footnoteReference w:id="6"/>
      </w:r>
      <w:r w:rsidR="00501D92" w:rsidRPr="00060F2B">
        <w:rPr>
          <w:rFonts w:ascii="Titillium" w:hAnsi="Titillium"/>
          <w:sz w:val="20"/>
        </w:rPr>
        <w:t>, del d.lgs. n. 39/2013</w:t>
      </w:r>
      <w:r w:rsidR="00501D92">
        <w:rPr>
          <w:rFonts w:ascii="Titillium" w:hAnsi="Titillium"/>
          <w:sz w:val="20"/>
        </w:rPr>
        <w:t xml:space="preserve"> </w:t>
      </w:r>
      <w:r w:rsidR="002D61F7" w:rsidRPr="002D61F7">
        <w:rPr>
          <w:rFonts w:ascii="Titillium" w:hAnsi="Titillium"/>
          <w:sz w:val="20"/>
        </w:rPr>
        <w:t xml:space="preserve">se l’incarico si riveste presso </w:t>
      </w:r>
      <w:r w:rsidR="002D61F7">
        <w:rPr>
          <w:rFonts w:ascii="Titillium" w:hAnsi="Titillium"/>
          <w:sz w:val="20"/>
        </w:rPr>
        <w:t xml:space="preserve">un </w:t>
      </w:r>
      <w:r w:rsidR="00501D92">
        <w:rPr>
          <w:rFonts w:ascii="Titillium" w:hAnsi="Titillium"/>
          <w:sz w:val="20"/>
        </w:rPr>
        <w:t xml:space="preserve">ente </w:t>
      </w:r>
      <w:r w:rsidR="00461694">
        <w:rPr>
          <w:rFonts w:ascii="Titillium" w:hAnsi="Titillium"/>
          <w:sz w:val="20"/>
        </w:rPr>
        <w:t xml:space="preserve">pubblico </w:t>
      </w:r>
      <w:r w:rsidR="002D61F7">
        <w:rPr>
          <w:rFonts w:ascii="Titillium" w:hAnsi="Titillium"/>
          <w:sz w:val="20"/>
        </w:rPr>
        <w:t>di livell</w:t>
      </w:r>
      <w:r w:rsidR="00501D92">
        <w:rPr>
          <w:rFonts w:ascii="Titillium" w:hAnsi="Titillium"/>
          <w:sz w:val="20"/>
        </w:rPr>
        <w:t>o</w:t>
      </w:r>
      <w:r w:rsidR="004534B6">
        <w:rPr>
          <w:rFonts w:ascii="Titillium" w:hAnsi="Titillium"/>
          <w:sz w:val="20"/>
        </w:rPr>
        <w:t xml:space="preserve"> provinciale o comunale</w:t>
      </w:r>
      <w:r w:rsidR="00501D92" w:rsidRPr="00060F2B">
        <w:rPr>
          <w:rFonts w:ascii="Titillium" w:hAnsi="Titillium"/>
          <w:sz w:val="20"/>
        </w:rPr>
        <w:t>.</w:t>
      </w:r>
    </w:p>
    <w:p w:rsidR="00170C1F" w:rsidRDefault="00170C1F" w:rsidP="00170C1F">
      <w:pPr>
        <w:pStyle w:val="Paragrafoelenco"/>
        <w:ind w:left="709"/>
        <w:contextualSpacing w:val="0"/>
        <w:jc w:val="both"/>
        <w:rPr>
          <w:rFonts w:ascii="Titillium" w:hAnsi="Titillium"/>
          <w:sz w:val="20"/>
        </w:rPr>
      </w:pPr>
    </w:p>
    <w:p w:rsidR="002D61F7" w:rsidRDefault="00170C1F" w:rsidP="002D61F7">
      <w:pPr>
        <w:pStyle w:val="Paragrafoelenco"/>
        <w:numPr>
          <w:ilvl w:val="0"/>
          <w:numId w:val="34"/>
        </w:numPr>
        <w:tabs>
          <w:tab w:val="left" w:pos="142"/>
        </w:tabs>
        <w:spacing w:line="360" w:lineRule="auto"/>
        <w:jc w:val="both"/>
        <w:rPr>
          <w:rFonts w:ascii="Titillium" w:hAnsi="Titillium" w:cs="Titillium Web"/>
          <w:b/>
          <w:bCs/>
          <w:sz w:val="20"/>
          <w:szCs w:val="20"/>
          <w:u w:val="single"/>
        </w:rPr>
      </w:pPr>
      <w:r>
        <w:rPr>
          <w:rFonts w:ascii="Titillium" w:hAnsi="Titillium" w:cs="Titillium Web"/>
          <w:b/>
          <w:bCs/>
          <w:sz w:val="20"/>
          <w:szCs w:val="20"/>
          <w:u w:val="single"/>
        </w:rPr>
        <w:t xml:space="preserve">Sezione valida per gli incarichi di </w:t>
      </w:r>
      <w:r w:rsidR="002D61F7">
        <w:rPr>
          <w:rFonts w:ascii="Titillium" w:hAnsi="Titillium" w:cs="Titillium Web"/>
          <w:b/>
          <w:bCs/>
          <w:sz w:val="20"/>
          <w:szCs w:val="20"/>
          <w:u w:val="single"/>
        </w:rPr>
        <w:t>Dirigent</w:t>
      </w:r>
      <w:r>
        <w:rPr>
          <w:rFonts w:ascii="Titillium" w:hAnsi="Titillium" w:cs="Titillium Web"/>
          <w:b/>
          <w:bCs/>
          <w:sz w:val="20"/>
          <w:szCs w:val="20"/>
          <w:u w:val="single"/>
        </w:rPr>
        <w:t>e</w:t>
      </w:r>
      <w:r w:rsidR="002D61F7">
        <w:rPr>
          <w:rFonts w:ascii="Titillium" w:hAnsi="Titillium" w:cs="Titillium Web"/>
          <w:b/>
          <w:bCs/>
          <w:sz w:val="20"/>
          <w:szCs w:val="20"/>
          <w:u w:val="single"/>
        </w:rPr>
        <w:t xml:space="preserve"> </w:t>
      </w:r>
      <w:r w:rsidR="002D61F7" w:rsidRPr="00FE072E">
        <w:rPr>
          <w:rFonts w:ascii="Titillium" w:hAnsi="Titillium" w:cs="Titillium Web"/>
          <w:b/>
          <w:bCs/>
          <w:sz w:val="20"/>
          <w:szCs w:val="20"/>
          <w:u w:val="single"/>
        </w:rPr>
        <w:t>estern</w:t>
      </w:r>
      <w:r w:rsidRPr="00FE072E">
        <w:rPr>
          <w:rFonts w:ascii="Titillium" w:hAnsi="Titillium" w:cs="Titillium Web"/>
          <w:b/>
          <w:bCs/>
          <w:sz w:val="20"/>
          <w:szCs w:val="20"/>
          <w:u w:val="single"/>
        </w:rPr>
        <w:t>o</w:t>
      </w:r>
      <w:r w:rsidR="008E435F" w:rsidRPr="00FE072E">
        <w:rPr>
          <w:rStyle w:val="Rimandonotaapidipagina"/>
          <w:rFonts w:ascii="Titillium" w:hAnsi="Titillium" w:cs="Titillium Web"/>
          <w:b/>
          <w:bCs/>
          <w:sz w:val="20"/>
          <w:szCs w:val="20"/>
          <w:u w:val="single"/>
        </w:rPr>
        <w:footnoteReference w:id="7"/>
      </w:r>
      <w:r w:rsidR="002D61F7" w:rsidRPr="00FE072E">
        <w:rPr>
          <w:rFonts w:ascii="Titillium" w:hAnsi="Titillium" w:cs="Titillium Web"/>
          <w:b/>
          <w:bCs/>
          <w:sz w:val="20"/>
          <w:szCs w:val="20"/>
          <w:u w:val="single"/>
        </w:rPr>
        <w:t xml:space="preserve"> </w:t>
      </w:r>
      <w:r w:rsidR="00B164E1" w:rsidRPr="00FE072E">
        <w:rPr>
          <w:rFonts w:ascii="Titillium" w:hAnsi="Titillium" w:cs="Titillium Web"/>
          <w:b/>
          <w:bCs/>
          <w:sz w:val="20"/>
          <w:szCs w:val="20"/>
          <w:u w:val="single"/>
        </w:rPr>
        <w:t>di ente</w:t>
      </w:r>
      <w:r w:rsidR="00B164E1">
        <w:rPr>
          <w:rFonts w:ascii="Titillium" w:hAnsi="Titillium" w:cs="Titillium Web"/>
          <w:b/>
          <w:bCs/>
          <w:sz w:val="20"/>
          <w:szCs w:val="20"/>
          <w:u w:val="single"/>
        </w:rPr>
        <w:t xml:space="preserve"> pubblico</w:t>
      </w:r>
    </w:p>
    <w:p w:rsidR="002D61F7" w:rsidRDefault="002D61F7" w:rsidP="002D61F7">
      <w:pPr>
        <w:pStyle w:val="Paragrafoelenco"/>
        <w:tabs>
          <w:tab w:val="left" w:pos="142"/>
        </w:tabs>
        <w:spacing w:line="360" w:lineRule="auto"/>
        <w:ind w:left="360"/>
        <w:jc w:val="both"/>
        <w:rPr>
          <w:rFonts w:ascii="Titillium" w:hAnsi="Titillium" w:cs="Titillium Web"/>
          <w:b/>
          <w:bCs/>
          <w:sz w:val="20"/>
          <w:szCs w:val="20"/>
          <w:u w:val="single"/>
        </w:rPr>
      </w:pPr>
    </w:p>
    <w:p w:rsidR="00B91ED9" w:rsidRPr="00E3661E" w:rsidRDefault="00B91ED9" w:rsidP="00E3661E">
      <w:pPr>
        <w:pStyle w:val="Paragrafoelenco"/>
        <w:numPr>
          <w:ilvl w:val="1"/>
          <w:numId w:val="36"/>
        </w:numPr>
        <w:tabs>
          <w:tab w:val="left" w:pos="142"/>
        </w:tabs>
        <w:spacing w:line="360" w:lineRule="auto"/>
        <w:jc w:val="both"/>
        <w:rPr>
          <w:rFonts w:ascii="Titillium" w:hAnsi="Titillium" w:cs="Titillium Web"/>
          <w:b/>
          <w:bCs/>
          <w:i/>
          <w:iCs/>
          <w:sz w:val="20"/>
          <w:szCs w:val="20"/>
          <w:u w:val="single"/>
        </w:rPr>
      </w:pPr>
      <w:r w:rsidRPr="00571C64">
        <w:rPr>
          <w:rFonts w:ascii="Titillium" w:hAnsi="Titillium"/>
          <w:b/>
          <w:bCs/>
          <w:i/>
          <w:iCs/>
          <w:sz w:val="20"/>
        </w:rPr>
        <w:t xml:space="preserve">Incompatibilità </w:t>
      </w:r>
      <w:r w:rsidR="002D61F7" w:rsidRPr="00571C64">
        <w:rPr>
          <w:rFonts w:ascii="Titillium" w:hAnsi="Titillium"/>
          <w:b/>
          <w:bCs/>
          <w:i/>
          <w:iCs/>
          <w:sz w:val="20"/>
        </w:rPr>
        <w:t>con le</w:t>
      </w:r>
      <w:r w:rsidRPr="00571C64">
        <w:rPr>
          <w:rFonts w:ascii="Titillium" w:hAnsi="Titillium"/>
          <w:b/>
          <w:bCs/>
          <w:i/>
          <w:iCs/>
          <w:sz w:val="20"/>
        </w:rPr>
        <w:t xml:space="preserve"> cariche di componenti degli organi di indirizzo nelle amministrazioni statali, regionali e locali</w:t>
      </w:r>
      <w:r w:rsidR="00501D92" w:rsidRPr="00571C64">
        <w:rPr>
          <w:rFonts w:ascii="Titillium" w:hAnsi="Titillium"/>
          <w:b/>
          <w:bCs/>
          <w:i/>
          <w:iCs/>
          <w:sz w:val="20"/>
        </w:rPr>
        <w:t xml:space="preserve"> </w:t>
      </w:r>
      <w:r w:rsidR="009B4BC1">
        <w:rPr>
          <w:rFonts w:ascii="Titillium" w:hAnsi="Titillium"/>
          <w:b/>
          <w:bCs/>
          <w:i/>
          <w:iCs/>
          <w:sz w:val="20"/>
        </w:rPr>
        <w:t xml:space="preserve">(N.B. </w:t>
      </w:r>
      <w:r w:rsidR="00F87BE1">
        <w:rPr>
          <w:rFonts w:ascii="Titillium" w:hAnsi="Titillium"/>
          <w:b/>
          <w:bCs/>
          <w:i/>
          <w:iCs/>
          <w:sz w:val="20"/>
        </w:rPr>
        <w:t>si tenga conto dell’esimente di cui al</w:t>
      </w:r>
      <w:r w:rsidR="00E3661E" w:rsidRPr="008D52FB">
        <w:rPr>
          <w:rFonts w:ascii="Titillium" w:hAnsi="Titillium"/>
          <w:b/>
          <w:bCs/>
          <w:i/>
          <w:iCs/>
          <w:sz w:val="20"/>
        </w:rPr>
        <w:t>l’art. 12, comma 4 – bis del d.lgs. n. 39/2013</w:t>
      </w:r>
      <w:r w:rsidR="00F87BE1">
        <w:rPr>
          <w:rFonts w:ascii="Titillium" w:hAnsi="Titillium"/>
          <w:b/>
          <w:bCs/>
          <w:i/>
          <w:iCs/>
          <w:sz w:val="20"/>
        </w:rPr>
        <w:t>)</w:t>
      </w:r>
    </w:p>
    <w:p w:rsidR="00E3661E" w:rsidRPr="00E3661E" w:rsidRDefault="00E3661E" w:rsidP="00E3661E">
      <w:pPr>
        <w:pStyle w:val="Paragrafoelenco"/>
        <w:tabs>
          <w:tab w:val="left" w:pos="142"/>
        </w:tabs>
        <w:spacing w:line="360" w:lineRule="auto"/>
        <w:ind w:left="360"/>
        <w:jc w:val="both"/>
        <w:rPr>
          <w:rFonts w:ascii="Titillium" w:hAnsi="Titillium" w:cs="Titillium Web"/>
          <w:b/>
          <w:bCs/>
          <w:i/>
          <w:iCs/>
          <w:sz w:val="20"/>
          <w:szCs w:val="20"/>
          <w:u w:val="single"/>
        </w:rPr>
      </w:pPr>
    </w:p>
    <w:p w:rsidR="00D2394A" w:rsidRDefault="00774603" w:rsidP="002D61F7">
      <w:pPr>
        <w:pStyle w:val="Paragrafoelenco"/>
        <w:jc w:val="both"/>
        <w:rPr>
          <w:rFonts w:ascii="Titillium" w:hAnsi="Titillium"/>
          <w:sz w:val="20"/>
        </w:rPr>
      </w:pPr>
      <w:r w:rsidRPr="00774603">
        <w:rPr>
          <w:rFonts w:ascii="Titillium" w:hAnsi="Titillium"/>
          <w:noProof/>
          <w:lang w:eastAsia="it-IT"/>
        </w:rPr>
        <w:pict>
          <v:rect id="Rettangolo 876730187" o:spid="_x0000_s2053" style="position:absolute;left:0;text-align:left;margin-left:21.2pt;margin-top:2.35pt;width:7.25pt;height:8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" fillcolor="window" strokecolor="#385d8a" strokeweight="2pt"/>
        </w:pict>
      </w:r>
      <w:r w:rsidR="00170C1F" w:rsidRPr="00170C1F">
        <w:rPr>
          <w:rFonts w:ascii="Titillium" w:hAnsi="Titillium"/>
          <w:sz w:val="20"/>
        </w:rPr>
        <w:t xml:space="preserve">Insussistenza </w:t>
      </w:r>
      <w:r w:rsidR="00170C1F">
        <w:rPr>
          <w:rFonts w:ascii="Titillium" w:hAnsi="Titillium"/>
          <w:sz w:val="20"/>
        </w:rPr>
        <w:t xml:space="preserve">ipotesi </w:t>
      </w:r>
      <w:r w:rsidR="002D61F7">
        <w:rPr>
          <w:rFonts w:ascii="Titillium" w:hAnsi="Titillium"/>
          <w:sz w:val="20"/>
        </w:rPr>
        <w:t>ai sensi</w:t>
      </w:r>
      <w:r w:rsidR="000E3DEA" w:rsidRPr="00501D92">
        <w:rPr>
          <w:rFonts w:ascii="Titillium" w:hAnsi="Titillium"/>
          <w:sz w:val="20"/>
        </w:rPr>
        <w:t xml:space="preserve"> l’</w:t>
      </w:r>
      <w:r w:rsidR="00D97A61" w:rsidRPr="00501D92">
        <w:rPr>
          <w:rFonts w:ascii="Titillium" w:hAnsi="Titillium"/>
          <w:sz w:val="20"/>
        </w:rPr>
        <w:t>art. 12, comm</w:t>
      </w:r>
      <w:r w:rsidR="00140F5C" w:rsidRPr="00501D92">
        <w:rPr>
          <w:rFonts w:ascii="Titillium" w:hAnsi="Titillium"/>
          <w:sz w:val="20"/>
        </w:rPr>
        <w:t>a</w:t>
      </w:r>
      <w:r w:rsidR="00D97A61" w:rsidRPr="00501D92">
        <w:rPr>
          <w:rFonts w:ascii="Titillium" w:hAnsi="Titillium"/>
          <w:sz w:val="20"/>
        </w:rPr>
        <w:t xml:space="preserve"> 1</w:t>
      </w:r>
      <w:r w:rsidR="00B504E1">
        <w:rPr>
          <w:rStyle w:val="Rimandonotaapidipagina"/>
          <w:rFonts w:ascii="Titillium" w:hAnsi="Titillium"/>
          <w:sz w:val="20"/>
        </w:rPr>
        <w:footnoteReference w:id="8"/>
      </w:r>
      <w:r w:rsidR="000E3DEA" w:rsidRPr="00501D92">
        <w:rPr>
          <w:rFonts w:ascii="Titillium" w:hAnsi="Titillium"/>
          <w:sz w:val="20"/>
        </w:rPr>
        <w:t>,</w:t>
      </w:r>
      <w:r w:rsidR="00DB5F57" w:rsidRPr="00501D92">
        <w:rPr>
          <w:rFonts w:ascii="Titillium" w:hAnsi="Titillium"/>
          <w:sz w:val="20"/>
        </w:rPr>
        <w:t xml:space="preserve"> del d.lgs. n. 39/2013</w:t>
      </w:r>
      <w:r w:rsidR="008B7DD7" w:rsidRPr="00501D92">
        <w:rPr>
          <w:rFonts w:ascii="Titillium" w:hAnsi="Titillium"/>
          <w:sz w:val="20"/>
        </w:rPr>
        <w:t>;</w:t>
      </w:r>
    </w:p>
    <w:p w:rsidR="00501D92" w:rsidRPr="00501D92" w:rsidRDefault="00501D92" w:rsidP="002D61F7">
      <w:pPr>
        <w:pStyle w:val="Paragrafoelenco"/>
        <w:jc w:val="both"/>
        <w:rPr>
          <w:rFonts w:ascii="Titillium" w:hAnsi="Titillium"/>
          <w:sz w:val="20"/>
        </w:rPr>
      </w:pPr>
    </w:p>
    <w:p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774603" w:rsidRPr="00774603">
        <w:rPr>
          <w:rFonts w:ascii="Titillium" w:hAnsi="Titillium"/>
          <w:noProof/>
          <w:lang w:eastAsia="it-IT"/>
        </w:rPr>
        <w:pict>
          <v:rect id="Rettangolo 1101825629" o:spid="_x0000_s2052" style="position:absolute;left:0;text-align:left;margin-left:22.5pt;margin-top:2.6pt;width:7.25pt;height: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sidRPr="006A61AA">
        <w:rPr>
          <w:rFonts w:ascii="Titillium" w:hAnsi="Titillium"/>
          <w:sz w:val="20"/>
        </w:rPr>
        <w:t>art. 12, comm</w:t>
      </w:r>
      <w:r w:rsidR="00140F5C">
        <w:rPr>
          <w:rFonts w:ascii="Titillium" w:hAnsi="Titillium"/>
          <w:sz w:val="20"/>
        </w:rPr>
        <w:t>a</w:t>
      </w:r>
      <w:r w:rsidR="00140F5C" w:rsidRPr="006A61AA">
        <w:rPr>
          <w:rFonts w:ascii="Titillium" w:hAnsi="Titillium"/>
          <w:sz w:val="20"/>
        </w:rPr>
        <w:t xml:space="preserve"> </w:t>
      </w:r>
      <w:r w:rsidR="00D97A61" w:rsidRPr="006A61AA">
        <w:rPr>
          <w:rFonts w:ascii="Titillium" w:hAnsi="Titillium"/>
          <w:sz w:val="20"/>
        </w:rPr>
        <w:t>2</w:t>
      </w:r>
      <w:r w:rsidR="00571C64">
        <w:rPr>
          <w:rFonts w:ascii="Titillium" w:hAnsi="Titillium"/>
          <w:sz w:val="20"/>
        </w:rPr>
        <w:t xml:space="preserve"> </w:t>
      </w:r>
      <w:r w:rsidR="002D61F7">
        <w:rPr>
          <w:rStyle w:val="Rimandonotaapidipagina"/>
          <w:rFonts w:ascii="Titillium" w:hAnsi="Titillium"/>
          <w:sz w:val="20"/>
        </w:rPr>
        <w:footnoteReference w:id="9"/>
      </w:r>
      <w:r w:rsidR="00D97A61" w:rsidRPr="006A61AA">
        <w:rPr>
          <w:rFonts w:ascii="Titillium" w:hAnsi="Titillium"/>
          <w:sz w:val="20"/>
        </w:rPr>
        <w:t xml:space="preserve">, </w:t>
      </w:r>
      <w:r w:rsidR="00DB5F57" w:rsidRPr="006A61AA">
        <w:rPr>
          <w:rFonts w:ascii="Titillium" w:hAnsi="Titillium"/>
          <w:sz w:val="20"/>
        </w:rPr>
        <w:t>del d.lgs. n. 39/2013</w:t>
      </w:r>
      <w:r w:rsidR="000E3DEA" w:rsidRPr="00E9079B">
        <w:rPr>
          <w:rFonts w:ascii="Titillium" w:hAnsi="Titillium"/>
          <w:sz w:val="20"/>
        </w:rPr>
        <w:t>;</w:t>
      </w:r>
    </w:p>
    <w:p w:rsidR="0075022F" w:rsidRPr="002D61F7" w:rsidRDefault="0075022F" w:rsidP="0075022F">
      <w:pPr>
        <w:pStyle w:val="Paragrafoelenco"/>
        <w:ind w:left="1069"/>
        <w:jc w:val="both"/>
        <w:rPr>
          <w:rFonts w:ascii="Titillium" w:hAnsi="Titillium"/>
          <w:b/>
          <w:bCs/>
          <w:i/>
          <w:iCs/>
          <w:sz w:val="20"/>
        </w:rPr>
      </w:pPr>
    </w:p>
    <w:p w:rsidR="00170A70" w:rsidRDefault="00170C1F" w:rsidP="002D61F7">
      <w:pPr>
        <w:pStyle w:val="Paragrafoelenco"/>
        <w:numPr>
          <w:ilvl w:val="0"/>
          <w:numId w:val="36"/>
        </w:numPr>
        <w:ind w:left="709" w:hanging="283"/>
        <w:contextualSpacing w:val="0"/>
        <w:jc w:val="both"/>
        <w:rPr>
          <w:rFonts w:ascii="Titillium" w:hAnsi="Titillium"/>
          <w:sz w:val="20"/>
        </w:rPr>
      </w:pPr>
      <w:r w:rsidRPr="00170C1F">
        <w:rPr>
          <w:rFonts w:ascii="Titillium" w:hAnsi="Titillium"/>
          <w:sz w:val="20"/>
        </w:rPr>
        <w:t xml:space="preserve">Insussistenza </w:t>
      </w:r>
      <w:r w:rsidR="00774603" w:rsidRPr="00774603">
        <w:rPr>
          <w:rFonts w:ascii="Titillium" w:hAnsi="Titillium"/>
          <w:noProof/>
          <w:lang w:eastAsia="it-IT"/>
        </w:rPr>
        <w:pict>
          <v:rect id="Rettangolo 2112762860" o:spid="_x0000_s2051" style="position:absolute;left:0;text-align:left;margin-left:22.5pt;margin-top:2.6pt;width:7.25pt;height: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140F5C">
        <w:rPr>
          <w:rFonts w:ascii="Titillium" w:hAnsi="Titillium"/>
          <w:sz w:val="20"/>
        </w:rPr>
        <w:t xml:space="preserve">art. 12, comma </w:t>
      </w:r>
      <w:r w:rsidR="00D97A61" w:rsidRPr="006A61AA">
        <w:rPr>
          <w:rFonts w:ascii="Titillium" w:hAnsi="Titillium"/>
          <w:sz w:val="20"/>
        </w:rPr>
        <w:t>3</w:t>
      </w:r>
      <w:r w:rsidR="002D61F7">
        <w:rPr>
          <w:rStyle w:val="Rimandonotaapidipagina"/>
          <w:rFonts w:ascii="Titillium" w:hAnsi="Titillium"/>
          <w:sz w:val="20"/>
        </w:rPr>
        <w:footnoteReference w:id="10"/>
      </w:r>
      <w:r w:rsidR="00DB5F57">
        <w:rPr>
          <w:rFonts w:ascii="Titillium" w:hAnsi="Titillium"/>
          <w:sz w:val="20"/>
        </w:rPr>
        <w:t xml:space="preserve">, </w:t>
      </w:r>
      <w:r w:rsidR="00DB5F57" w:rsidRPr="006A61AA">
        <w:rPr>
          <w:rFonts w:ascii="Titillium" w:hAnsi="Titillium"/>
          <w:sz w:val="20"/>
        </w:rPr>
        <w:t>d.lgs. n. 39/2013</w:t>
      </w:r>
      <w:r w:rsidR="008B7DD7">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un ente</w:t>
      </w:r>
      <w:r w:rsidR="0005012F">
        <w:rPr>
          <w:rFonts w:ascii="Titillium" w:hAnsi="Titillium"/>
          <w:sz w:val="20"/>
        </w:rPr>
        <w:t xml:space="preserve"> pubblico</w:t>
      </w:r>
      <w:r w:rsidR="008B7DD7">
        <w:rPr>
          <w:rFonts w:ascii="Titillium" w:hAnsi="Titillium"/>
          <w:sz w:val="20"/>
        </w:rPr>
        <w:t xml:space="preserve"> </w:t>
      </w:r>
      <w:r w:rsidR="00DB5F57">
        <w:rPr>
          <w:rFonts w:ascii="Titillium" w:hAnsi="Titillium"/>
          <w:sz w:val="20"/>
        </w:rPr>
        <w:t>di livello regionale</w:t>
      </w:r>
      <w:r w:rsidR="000E3DEA">
        <w:rPr>
          <w:rFonts w:ascii="Titillium" w:hAnsi="Titillium"/>
          <w:sz w:val="20"/>
        </w:rPr>
        <w:t>;</w:t>
      </w:r>
      <w:r w:rsidR="00DB5F57">
        <w:rPr>
          <w:rFonts w:ascii="Titillium" w:hAnsi="Titillium"/>
          <w:sz w:val="20"/>
        </w:rPr>
        <w:t xml:space="preserve"> </w:t>
      </w:r>
    </w:p>
    <w:p w:rsidR="00DB5F57" w:rsidRDefault="002D61F7" w:rsidP="002D61F7">
      <w:pPr>
        <w:pStyle w:val="Paragrafoelenco"/>
        <w:numPr>
          <w:ilvl w:val="0"/>
          <w:numId w:val="29"/>
        </w:numPr>
        <w:jc w:val="both"/>
        <w:rPr>
          <w:rFonts w:ascii="Titillium" w:hAnsi="Titillium"/>
          <w:b/>
          <w:bCs/>
          <w:i/>
          <w:iCs/>
          <w:sz w:val="20"/>
        </w:rPr>
      </w:pPr>
      <w:r>
        <w:rPr>
          <w:rFonts w:ascii="Titillium" w:hAnsi="Titillium"/>
          <w:b/>
          <w:bCs/>
          <w:i/>
          <w:iCs/>
          <w:sz w:val="20"/>
        </w:rPr>
        <w:t>o</w:t>
      </w:r>
      <w:r w:rsidR="00DC715E">
        <w:rPr>
          <w:rFonts w:ascii="Titillium" w:hAnsi="Titillium"/>
          <w:b/>
          <w:bCs/>
          <w:i/>
          <w:iCs/>
          <w:sz w:val="20"/>
        </w:rPr>
        <w:t>ppure</w:t>
      </w:r>
    </w:p>
    <w:p w:rsidR="002D61F7" w:rsidRPr="002D61F7" w:rsidRDefault="002D61F7" w:rsidP="002D61F7">
      <w:pPr>
        <w:pStyle w:val="Paragrafoelenco"/>
        <w:ind w:left="1069"/>
        <w:jc w:val="both"/>
        <w:rPr>
          <w:rFonts w:ascii="Titillium" w:hAnsi="Titillium"/>
          <w:b/>
          <w:bCs/>
          <w:i/>
          <w:iCs/>
          <w:sz w:val="20"/>
        </w:rPr>
      </w:pPr>
    </w:p>
    <w:p w:rsidR="003930B5" w:rsidRPr="00B164E1" w:rsidRDefault="00170C1F" w:rsidP="00B164E1">
      <w:pPr>
        <w:pStyle w:val="Paragrafoelenco"/>
        <w:ind w:left="709"/>
        <w:contextualSpacing w:val="0"/>
        <w:jc w:val="both"/>
        <w:rPr>
          <w:rFonts w:ascii="Titillium" w:hAnsi="Titillium"/>
          <w:sz w:val="20"/>
        </w:rPr>
      </w:pPr>
      <w:r w:rsidRPr="00170C1F">
        <w:rPr>
          <w:rFonts w:ascii="Titillium" w:hAnsi="Titillium"/>
          <w:sz w:val="20"/>
        </w:rPr>
        <w:t xml:space="preserve">Insussistenza </w:t>
      </w:r>
      <w:r w:rsidR="00774603" w:rsidRPr="00774603">
        <w:rPr>
          <w:rFonts w:ascii="Titillium" w:hAnsi="Titillium"/>
          <w:noProof/>
          <w:lang w:eastAsia="it-IT"/>
        </w:rPr>
        <w:pict>
          <v:rect id="Rettangolo 1882198538" o:spid="_x0000_s2050" style="position:absolute;left:0;text-align:left;margin-left:22.5pt;margin-top:2.6pt;width:7.25pt;height:8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" fillcolor="window" strokecolor="#385d8a" strokeweight="2pt"/>
        </w:pict>
      </w:r>
      <w:r>
        <w:rPr>
          <w:rFonts w:ascii="Titillium" w:hAnsi="Titillium"/>
          <w:sz w:val="20"/>
        </w:rPr>
        <w:t xml:space="preserve">ipotesi </w:t>
      </w:r>
      <w:r w:rsidR="00DB5F57">
        <w:rPr>
          <w:rFonts w:ascii="Titillium" w:hAnsi="Titillium"/>
          <w:sz w:val="20"/>
        </w:rPr>
        <w:t xml:space="preserve">art. 12, comma </w:t>
      </w:r>
      <w:r w:rsidR="00D97A61" w:rsidRPr="006A61AA">
        <w:rPr>
          <w:rFonts w:ascii="Titillium" w:hAnsi="Titillium"/>
          <w:sz w:val="20"/>
        </w:rPr>
        <w:t>4</w:t>
      </w:r>
      <w:r w:rsidR="0075022F">
        <w:rPr>
          <w:rStyle w:val="Rimandonotaapidipagina"/>
          <w:rFonts w:ascii="Titillium" w:hAnsi="Titillium"/>
          <w:sz w:val="20"/>
        </w:rPr>
        <w:footnoteReference w:id="11"/>
      </w:r>
      <w:r w:rsidR="003440FD">
        <w:rPr>
          <w:rFonts w:ascii="Titillium" w:hAnsi="Titillium"/>
          <w:sz w:val="20"/>
        </w:rPr>
        <w:t>,</w:t>
      </w:r>
      <w:r w:rsidR="00DB5F57" w:rsidRPr="00DB5F57">
        <w:rPr>
          <w:rFonts w:ascii="Calibri" w:hAnsi="Calibri" w:cs="Calibri"/>
          <w:color w:val="000000"/>
          <w:shd w:val="clear" w:color="auto" w:fill="F5FDFE"/>
        </w:rPr>
        <w:t xml:space="preserve"> </w:t>
      </w:r>
      <w:r w:rsidR="00DB5F57" w:rsidRPr="006A61AA">
        <w:rPr>
          <w:rFonts w:ascii="Titillium" w:hAnsi="Titillium"/>
          <w:sz w:val="20"/>
        </w:rPr>
        <w:t>d.lgs. n. 39/2013</w:t>
      </w:r>
      <w:r w:rsidR="000E3DEA">
        <w:rPr>
          <w:rFonts w:ascii="Titillium" w:hAnsi="Titillium"/>
          <w:sz w:val="20"/>
        </w:rPr>
        <w:t xml:space="preserve"> </w:t>
      </w:r>
      <w:r w:rsidR="002D61F7" w:rsidRPr="002D61F7">
        <w:rPr>
          <w:rFonts w:ascii="Titillium" w:hAnsi="Titillium"/>
          <w:sz w:val="20"/>
        </w:rPr>
        <w:t xml:space="preserve">se l’incarico si riveste presso </w:t>
      </w:r>
      <w:r w:rsidR="008B7DD7">
        <w:rPr>
          <w:rFonts w:ascii="Titillium" w:hAnsi="Titillium"/>
          <w:sz w:val="20"/>
        </w:rPr>
        <w:t xml:space="preserve">un ente </w:t>
      </w:r>
      <w:r w:rsidR="0005012F">
        <w:rPr>
          <w:rFonts w:ascii="Titillium" w:hAnsi="Titillium"/>
          <w:sz w:val="20"/>
        </w:rPr>
        <w:t xml:space="preserve">pubblico </w:t>
      </w:r>
      <w:r w:rsidR="00DB5F57">
        <w:rPr>
          <w:rFonts w:ascii="Titillium" w:hAnsi="Titillium"/>
          <w:sz w:val="20"/>
        </w:rPr>
        <w:t xml:space="preserve">di livello </w:t>
      </w:r>
      <w:r w:rsidR="00DB5F57" w:rsidRPr="00DB5F57">
        <w:rPr>
          <w:rFonts w:ascii="Titillium" w:hAnsi="Titillium"/>
          <w:sz w:val="20"/>
        </w:rPr>
        <w:t>provinciale o comunale</w:t>
      </w:r>
      <w:r w:rsidR="00D97A61" w:rsidRPr="006A61AA">
        <w:rPr>
          <w:rFonts w:ascii="Titillium" w:hAnsi="Titillium"/>
          <w:sz w:val="20"/>
        </w:rPr>
        <w:t>;</w:t>
      </w:r>
    </w:p>
    <w:p w:rsidR="00095A1A" w:rsidRPr="004534B6" w:rsidRDefault="006A61AA" w:rsidP="00184463">
      <w:pPr>
        <w:tabs>
          <w:tab w:val="left" w:pos="0"/>
          <w:tab w:val="left" w:pos="142"/>
        </w:tabs>
        <w:spacing w:line="360" w:lineRule="auto"/>
        <w:jc w:val="center"/>
        <w:rPr>
          <w:rFonts w:ascii="Titillium" w:hAnsi="Titillium" w:cs="Titillium Web"/>
          <w:b/>
          <w:bCs/>
          <w:sz w:val="20"/>
          <w:szCs w:val="20"/>
        </w:rPr>
      </w:pPr>
      <w:r w:rsidRPr="004534B6">
        <w:rPr>
          <w:rFonts w:ascii="Titillium" w:hAnsi="Titillium" w:cs="Titillium Web"/>
          <w:b/>
          <w:bCs/>
          <w:sz w:val="20"/>
          <w:szCs w:val="20"/>
        </w:rPr>
        <w:t>DICHIARA ALTRESI’</w:t>
      </w:r>
    </w:p>
    <w:p w:rsidR="00A43279" w:rsidRPr="006E1AC5" w:rsidRDefault="00A43279" w:rsidP="00A43279">
      <w:pPr>
        <w:jc w:val="both"/>
        <w:rPr>
          <w:rFonts w:ascii="Titillium" w:hAnsi="Titillium"/>
          <w:sz w:val="20"/>
          <w:szCs w:val="20"/>
        </w:rPr>
      </w:pPr>
      <w:r w:rsidRPr="006E1AC5">
        <w:rPr>
          <w:rFonts w:ascii="Titillium" w:hAnsi="Titillium"/>
          <w:sz w:val="20"/>
          <w:szCs w:val="20"/>
        </w:rPr>
        <w:t>di essere informato che, ai sensi di quanto disposto dall’art. 20, comma 3</w:t>
      </w:r>
      <w:r w:rsidR="00203938">
        <w:rPr>
          <w:rFonts w:ascii="Titillium" w:hAnsi="Titillium"/>
          <w:sz w:val="20"/>
          <w:szCs w:val="20"/>
        </w:rPr>
        <w:t>,</w:t>
      </w:r>
      <w:r w:rsidRPr="006E1AC5">
        <w:rPr>
          <w:rFonts w:ascii="Titillium" w:hAnsi="Titillium"/>
          <w:sz w:val="20"/>
          <w:szCs w:val="20"/>
        </w:rPr>
        <w:t xml:space="preserve"> del D.lgs. n. 39/2013, la presente dichiarazione verrà pubblicata sul sito istituzionale </w:t>
      </w:r>
      <w:r w:rsidR="006A61AA" w:rsidRPr="006E1AC5">
        <w:rPr>
          <w:rFonts w:ascii="Titillium" w:hAnsi="Titillium"/>
          <w:sz w:val="20"/>
          <w:szCs w:val="20"/>
        </w:rPr>
        <w:t>dell’ente, nell’apposita sezione “</w:t>
      </w:r>
      <w:r w:rsidRPr="006E1AC5">
        <w:rPr>
          <w:rFonts w:ascii="Titillium" w:hAnsi="Titillium"/>
          <w:sz w:val="20"/>
          <w:szCs w:val="20"/>
        </w:rPr>
        <w:t>Amministrazione Trasparente</w:t>
      </w:r>
      <w:r w:rsidR="006A61AA" w:rsidRPr="006E1AC5">
        <w:rPr>
          <w:rFonts w:ascii="Titillium" w:hAnsi="Titillium"/>
          <w:sz w:val="20"/>
          <w:szCs w:val="20"/>
        </w:rPr>
        <w:t>”</w:t>
      </w:r>
      <w:r w:rsidR="00DC715E">
        <w:rPr>
          <w:rStyle w:val="Rimandonotaapidipagina"/>
          <w:rFonts w:ascii="Titillium" w:hAnsi="Titillium"/>
          <w:sz w:val="20"/>
          <w:szCs w:val="20"/>
        </w:rPr>
        <w:footnoteReference w:id="12"/>
      </w:r>
      <w:r w:rsidRPr="006E1AC5">
        <w:rPr>
          <w:rFonts w:ascii="Titillium" w:hAnsi="Titillium"/>
          <w:sz w:val="20"/>
          <w:szCs w:val="20"/>
        </w:rPr>
        <w:t>.</w:t>
      </w:r>
    </w:p>
    <w:p w:rsidR="00F75317" w:rsidRPr="007349D1" w:rsidRDefault="00F75317" w:rsidP="00F75317">
      <w:pPr>
        <w:jc w:val="both"/>
        <w:rPr>
          <w:rFonts w:ascii="Titillium" w:hAnsi="Titillium"/>
          <w:sz w:val="20"/>
          <w:szCs w:val="20"/>
        </w:rPr>
      </w:pPr>
      <w:bookmarkStart w:id="5" w:name="_Hlk200102237"/>
      <w:r w:rsidRPr="00FE072E">
        <w:rPr>
          <w:rFonts w:ascii="Titillium" w:hAnsi="Titillium"/>
          <w:sz w:val="20"/>
          <w:szCs w:val="20"/>
        </w:rPr>
        <w:lastRenderedPageBreak/>
        <w:t xml:space="preserve">Il/La sottoscritto/a si impegna altresì a comunicare tempestivamente eventuali variazioni del contenuto della presente dichiarazione ed è a conoscenza che l’ente ricevente la presente dichiarazione è tenuto a effettuare i controlli e gli accertamenti previsti dalla disciplina vigente in ordine alla relativa veridicità, </w:t>
      </w:r>
      <w:r w:rsidRPr="00A0571E">
        <w:rPr>
          <w:rFonts w:ascii="Titillium" w:hAnsi="Titillium"/>
          <w:sz w:val="20"/>
          <w:szCs w:val="20"/>
        </w:rPr>
        <w:t>anche tramite acquisizione di informazioni sulle iscrizioni esistenti nel casellario giudiziale.</w:t>
      </w:r>
    </w:p>
    <w:bookmarkEnd w:id="5"/>
    <w:p w:rsidR="00BD6D9B" w:rsidRPr="006E1AC5" w:rsidRDefault="00BD6D9B" w:rsidP="00C0653D">
      <w:pPr>
        <w:spacing w:line="360" w:lineRule="auto"/>
        <w:jc w:val="both"/>
        <w:rPr>
          <w:rFonts w:ascii="Titillium" w:hAnsi="Titillium" w:cs="Titillium Web"/>
          <w:sz w:val="20"/>
          <w:szCs w:val="20"/>
        </w:rPr>
      </w:pPr>
    </w:p>
    <w:p w:rsidR="00C0653D" w:rsidRPr="006E1AC5" w:rsidRDefault="0015463B" w:rsidP="00C0653D">
      <w:pPr>
        <w:spacing w:line="360" w:lineRule="auto"/>
        <w:jc w:val="both"/>
        <w:rPr>
          <w:rFonts w:ascii="Titillium" w:hAnsi="Titillium" w:cs="Titillium Web"/>
          <w:sz w:val="20"/>
          <w:szCs w:val="20"/>
        </w:rPr>
      </w:pPr>
      <w:r w:rsidRPr="006E1AC5">
        <w:rPr>
          <w:rFonts w:ascii="Titillium" w:hAnsi="Titillium" w:cs="Titillium Web"/>
          <w:sz w:val="20"/>
          <w:szCs w:val="20"/>
        </w:rPr>
        <w:t>Luogo, data</w:t>
      </w:r>
      <w:r w:rsidR="00451835">
        <w:rPr>
          <w:rFonts w:ascii="Titillium" w:hAnsi="Titillium" w:cs="Titillium Web"/>
          <w:sz w:val="20"/>
          <w:szCs w:val="20"/>
        </w:rPr>
        <w:t xml:space="preserve">                                                                                                                                            Firma</w:t>
      </w:r>
    </w:p>
    <w:p w:rsidR="00C30093" w:rsidRPr="00C30093" w:rsidRDefault="00C30093" w:rsidP="00C30093">
      <w:pPr>
        <w:spacing w:line="360" w:lineRule="auto"/>
        <w:jc w:val="both"/>
        <w:rPr>
          <w:rFonts w:ascii="Titillium" w:hAnsi="Titillium" w:cs="Titillium Web"/>
          <w:sz w:val="20"/>
          <w:szCs w:val="20"/>
        </w:rPr>
      </w:pPr>
    </w:p>
    <w:p w:rsidR="00F75317" w:rsidRPr="00691E8A" w:rsidRDefault="00C30093" w:rsidP="00C30093">
      <w:pPr>
        <w:spacing w:line="360" w:lineRule="auto"/>
        <w:jc w:val="both"/>
        <w:rPr>
          <w:rFonts w:ascii="Titillium" w:hAnsi="Titillium" w:cs="Titillium Web"/>
          <w:sz w:val="20"/>
          <w:szCs w:val="20"/>
        </w:rPr>
      </w:pPr>
      <w:r w:rsidRPr="00C30093">
        <w:rPr>
          <w:rFonts w:ascii="Titillium" w:hAnsi="Titillium" w:cs="Titillium Web"/>
          <w:sz w:val="20"/>
          <w:szCs w:val="20"/>
        </w:rPr>
        <w:t>La versione originale del documento è depositata presso l’Ufficio</w:t>
      </w:r>
    </w:p>
    <w:sectPr w:rsidR="00F75317" w:rsidRPr="00691E8A" w:rsidSect="00B4300C">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E91" w:rsidRDefault="00C64E91" w:rsidP="001A58E6">
      <w:pPr>
        <w:spacing w:after="0" w:line="240" w:lineRule="auto"/>
      </w:pPr>
      <w:r>
        <w:separator/>
      </w:r>
    </w:p>
  </w:endnote>
  <w:endnote w:type="continuationSeparator" w:id="0">
    <w:p w:rsidR="00C64E91" w:rsidRDefault="00C64E91" w:rsidP="001A5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tillium">
    <w:altName w:val="Liberation Mono"/>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171" w:rsidRDefault="0089517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D69" w:rsidRDefault="008E2D69" w:rsidP="00C0653D">
    <w:pPr>
      <w:pStyle w:val="Pidipagina"/>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171" w:rsidRDefault="0089517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E91" w:rsidRDefault="00C64E91" w:rsidP="001A58E6">
      <w:pPr>
        <w:spacing w:after="0" w:line="240" w:lineRule="auto"/>
      </w:pPr>
      <w:r>
        <w:separator/>
      </w:r>
    </w:p>
  </w:footnote>
  <w:footnote w:type="continuationSeparator" w:id="0">
    <w:p w:rsidR="00C64E91" w:rsidRDefault="00C64E91" w:rsidP="001A58E6">
      <w:pPr>
        <w:spacing w:after="0" w:line="240" w:lineRule="auto"/>
      </w:pPr>
      <w:r>
        <w:continuationSeparator/>
      </w:r>
    </w:p>
  </w:footnote>
  <w:footnote w:id="1">
    <w:p w:rsidR="00D427D1" w:rsidRPr="00D427D1" w:rsidRDefault="00D20D97" w:rsidP="00D427D1">
      <w:pPr>
        <w:pStyle w:val="Testonotaapidipagina"/>
        <w:ind w:left="284"/>
        <w:jc w:val="both"/>
        <w:rPr>
          <w:i/>
          <w:sz w:val="16"/>
        </w:rPr>
      </w:pPr>
      <w:r>
        <w:rPr>
          <w:rStyle w:val="Rimandonotaapidipagina"/>
        </w:rPr>
        <w:footnoteRef/>
      </w:r>
      <w:r w:rsidRPr="00EA056E">
        <w:t xml:space="preserve"> </w:t>
      </w:r>
      <w:r w:rsidRPr="00EA056E">
        <w:rPr>
          <w:b/>
          <w:sz w:val="16"/>
        </w:rPr>
        <w:t xml:space="preserve">Art. </w:t>
      </w:r>
      <w:r w:rsidR="00EA056E" w:rsidRPr="00EA056E">
        <w:rPr>
          <w:b/>
          <w:sz w:val="16"/>
        </w:rPr>
        <w:t>1</w:t>
      </w:r>
      <w:r w:rsidR="00571C64">
        <w:rPr>
          <w:b/>
          <w:sz w:val="16"/>
        </w:rPr>
        <w:t xml:space="preserve">, comma 2, lett. </w:t>
      </w:r>
      <w:r w:rsidR="00D427D1">
        <w:rPr>
          <w:b/>
          <w:sz w:val="16"/>
        </w:rPr>
        <w:t>b</w:t>
      </w:r>
      <w:r w:rsidR="00571C64">
        <w:rPr>
          <w:b/>
          <w:sz w:val="16"/>
        </w:rPr>
        <w:t>)</w:t>
      </w:r>
      <w:r w:rsidR="004534B6">
        <w:rPr>
          <w:b/>
          <w:sz w:val="16"/>
        </w:rPr>
        <w:t>:</w:t>
      </w:r>
      <w:r w:rsidR="00571C64">
        <w:rPr>
          <w:b/>
          <w:sz w:val="16"/>
        </w:rPr>
        <w:t xml:space="preserve"> “</w:t>
      </w:r>
      <w:r w:rsidR="00EA056E" w:rsidRPr="00EA056E">
        <w:rPr>
          <w:i/>
          <w:sz w:val="16"/>
        </w:rPr>
        <w:t>Ai fini del presente decreto si intende</w:t>
      </w:r>
      <w:r w:rsidR="00EA056E">
        <w:rPr>
          <w:sz w:val="16"/>
        </w:rPr>
        <w:t>:</w:t>
      </w:r>
      <w:r w:rsidR="00571C64">
        <w:rPr>
          <w:sz w:val="16"/>
        </w:rPr>
        <w:t xml:space="preserve"> (...) </w:t>
      </w:r>
      <w:r w:rsidR="00D427D1" w:rsidRPr="00D427D1">
        <w:rPr>
          <w:i/>
          <w:sz w:val="16"/>
        </w:rPr>
        <w:t>per «enti pubblici», gli enti di diritto pubblico non territoriali nazionali, regionali o locali, comunque denominati, istituiti, vigilati, finanziati dalla pubblica amministrazione che conferisce l'incarico, ovvero i cui amministratori siano da questa nominati”;</w:t>
      </w:r>
    </w:p>
    <w:p w:rsidR="00D20D97" w:rsidRPr="00EA056E" w:rsidRDefault="00D20D97" w:rsidP="00D20D97">
      <w:pPr>
        <w:pStyle w:val="Testonotaapidipagina"/>
        <w:ind w:left="284"/>
        <w:jc w:val="both"/>
        <w:rPr>
          <w:i/>
          <w:sz w:val="16"/>
          <w:szCs w:val="16"/>
        </w:rPr>
      </w:pPr>
    </w:p>
    <w:p w:rsidR="00D20D97" w:rsidRPr="00EA056E" w:rsidRDefault="00D20D97" w:rsidP="00D20D97">
      <w:pPr>
        <w:pStyle w:val="Testonotaapidipagina"/>
        <w:ind w:left="284"/>
        <w:jc w:val="both"/>
        <w:rPr>
          <w:i/>
          <w:sz w:val="16"/>
          <w:szCs w:val="16"/>
        </w:rPr>
      </w:pPr>
    </w:p>
    <w:p w:rsidR="00D20D97" w:rsidRPr="007B50E1" w:rsidRDefault="00D20D97" w:rsidP="00571C64">
      <w:pPr>
        <w:pStyle w:val="Testonotaapidipagina"/>
        <w:ind w:left="284"/>
        <w:jc w:val="both"/>
        <w:rPr>
          <w:i/>
          <w:sz w:val="16"/>
        </w:rPr>
      </w:pPr>
      <w:r w:rsidRPr="00EA056E">
        <w:rPr>
          <w:rStyle w:val="Rimandonotaapidipagina"/>
        </w:rPr>
        <w:t>2</w:t>
      </w:r>
      <w:r w:rsidRPr="00EA056E">
        <w:t xml:space="preserve"> </w:t>
      </w:r>
      <w:r w:rsidRPr="00EA056E">
        <w:rPr>
          <w:b/>
          <w:sz w:val="16"/>
        </w:rPr>
        <w:t>Art. 20</w:t>
      </w:r>
      <w:r w:rsidR="00571C64">
        <w:rPr>
          <w:b/>
          <w:sz w:val="16"/>
        </w:rPr>
        <w:t>, comma 2</w:t>
      </w:r>
      <w:r w:rsidR="004534B6">
        <w:rPr>
          <w:b/>
          <w:sz w:val="16"/>
        </w:rPr>
        <w:t>:</w:t>
      </w:r>
      <w:r w:rsidR="00571C64">
        <w:rPr>
          <w:b/>
          <w:sz w:val="16"/>
        </w:rPr>
        <w:t xml:space="preserve"> </w:t>
      </w:r>
      <w:r>
        <w:rPr>
          <w:sz w:val="16"/>
        </w:rPr>
        <w:t>“</w:t>
      </w:r>
      <w:r w:rsidR="00571C64">
        <w:rPr>
          <w:i/>
          <w:sz w:val="16"/>
        </w:rPr>
        <w:t>Nel corso dell’incarico l’interessato presenta annualmente una dichiarazione sulla insussistenza di una delle cause di incompatibilità di cui al presente decreto.”;</w:t>
      </w:r>
    </w:p>
  </w:footnote>
  <w:footnote w:id="2">
    <w:p w:rsidR="00B504E1" w:rsidRPr="007B50E1" w:rsidRDefault="00B504E1" w:rsidP="00B504E1">
      <w:pPr>
        <w:pStyle w:val="Testonotaapidipagina"/>
        <w:ind w:left="644"/>
        <w:jc w:val="both"/>
        <w:rPr>
          <w:i/>
          <w:sz w:val="16"/>
        </w:rPr>
      </w:pPr>
    </w:p>
  </w:footnote>
  <w:footnote w:id="3">
    <w:p w:rsidR="00B504E1" w:rsidRPr="00337A8F" w:rsidRDefault="00B504E1" w:rsidP="00B504E1">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comma 2</w:t>
      </w:r>
      <w:r w:rsidR="004534B6">
        <w:rPr>
          <w:rFonts w:ascii="Titillium" w:eastAsiaTheme="minorHAnsi" w:hAnsi="Titillium" w:cs="Titillium Web"/>
          <w:b/>
          <w:sz w:val="16"/>
          <w:szCs w:val="20"/>
          <w:lang w:eastAsia="en-US"/>
        </w:rPr>
        <w:t>:</w:t>
      </w:r>
      <w:r w:rsidRPr="00337A8F">
        <w:rPr>
          <w:rFonts w:ascii="Titillium" w:eastAsiaTheme="minorHAnsi" w:hAnsi="Titillium" w:cs="Titillium Web"/>
          <w:i/>
          <w:sz w:val="16"/>
          <w:szCs w:val="20"/>
          <w:lang w:eastAsia="en-US"/>
        </w:rPr>
        <w:t xml:space="preserve">“Gli incarichi amministrativi di vertice e gli incarichi dirigenziali, comunque denominati, nelle pubbliche amministrazioni, gli incarichi di </w:t>
      </w:r>
      <w:r w:rsidRPr="00D427D1">
        <w:rPr>
          <w:rFonts w:ascii="Titillium" w:eastAsiaTheme="minorHAnsi" w:hAnsi="Titillium" w:cs="Titillium Web"/>
          <w:b/>
          <w:bCs/>
          <w:i/>
          <w:sz w:val="16"/>
          <w:szCs w:val="20"/>
          <w:lang w:eastAsia="en-US"/>
        </w:rPr>
        <w:t>amministratore negli enti pubblici</w:t>
      </w:r>
      <w:r w:rsidRPr="00337A8F">
        <w:rPr>
          <w:rFonts w:ascii="Titillium" w:eastAsiaTheme="minorHAnsi" w:hAnsi="Titillium" w:cs="Titillium Web"/>
          <w:i/>
          <w:sz w:val="16"/>
          <w:szCs w:val="20"/>
          <w:lang w:eastAsia="en-US"/>
        </w:rPr>
        <w:t xml:space="preserve"> e di presidente e amministratore delegato negli </w:t>
      </w:r>
      <w:r w:rsidRPr="00D427D1">
        <w:rPr>
          <w:rFonts w:ascii="Titillium" w:eastAsiaTheme="minorHAnsi" w:hAnsi="Titillium" w:cs="Titillium Web"/>
          <w:bCs/>
          <w:i/>
          <w:sz w:val="16"/>
          <w:szCs w:val="20"/>
          <w:lang w:eastAsia="en-US"/>
        </w:rPr>
        <w:t>enti di diritto privato in controllo pubblico</w:t>
      </w:r>
      <w:r w:rsidRPr="00337A8F">
        <w:rPr>
          <w:rFonts w:ascii="Titillium" w:eastAsiaTheme="minorHAnsi" w:hAnsi="Titillium" w:cs="Titillium Web"/>
          <w:i/>
          <w:sz w:val="16"/>
          <w:szCs w:val="20"/>
          <w:lang w:eastAsia="en-US"/>
        </w:rPr>
        <w:t xml:space="preserve"> sono incompatibili con lo svolgimento in proprio, da parte del soggetto incaricato, di un’attività professionale, se questa è regolata, finanziata o comunque retribuita dall’amministrazione o ente che conferisce l’incarico.”</w:t>
      </w:r>
      <w:r>
        <w:rPr>
          <w:rFonts w:ascii="Titillium" w:eastAsiaTheme="minorHAnsi" w:hAnsi="Titillium" w:cs="Titillium Web"/>
          <w:i/>
          <w:sz w:val="16"/>
          <w:szCs w:val="20"/>
          <w:lang w:eastAsia="en-US"/>
        </w:rPr>
        <w:t>;</w:t>
      </w:r>
    </w:p>
    <w:p w:rsidR="00B504E1" w:rsidRPr="00902A42" w:rsidRDefault="00B504E1" w:rsidP="00B504E1">
      <w:pPr>
        <w:pStyle w:val="Testonotaapidipagina"/>
        <w:ind w:left="709"/>
        <w:rPr>
          <w:sz w:val="18"/>
        </w:rPr>
      </w:pPr>
    </w:p>
  </w:footnote>
  <w:footnote w:id="4">
    <w:p w:rsidR="00501D92" w:rsidRDefault="00501D92" w:rsidP="002D61F7">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Fonts w:ascii="Titillium" w:eastAsiaTheme="minorHAnsi" w:hAnsi="Titillium"/>
          <w:sz w:val="20"/>
          <w:szCs w:val="22"/>
          <w:vertAlign w:val="superscript"/>
          <w:lang w:eastAsia="en-US"/>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w:t>
      </w:r>
      <w:r w:rsidR="00461694">
        <w:rPr>
          <w:rFonts w:ascii="Titillium" w:eastAsiaTheme="minorHAnsi" w:hAnsi="Titillium" w:cs="Titillium Web"/>
          <w:b/>
          <w:sz w:val="16"/>
          <w:szCs w:val="20"/>
          <w:lang w:eastAsia="en-US"/>
        </w:rPr>
        <w:t>1</w:t>
      </w:r>
      <w:r>
        <w:rPr>
          <w:rFonts w:ascii="Titillium" w:eastAsiaTheme="minorHAnsi" w:hAnsi="Titillium" w:cs="Titillium Web"/>
          <w:b/>
          <w:sz w:val="16"/>
          <w:szCs w:val="20"/>
          <w:lang w:eastAsia="en-US"/>
        </w:rPr>
        <w:t>, comma 1</w:t>
      </w:r>
      <w:r w:rsidR="00461694">
        <w:rPr>
          <w:rFonts w:ascii="Titillium" w:eastAsiaTheme="minorHAnsi" w:hAnsi="Titillium" w:cs="Titillium Web"/>
          <w:b/>
          <w:sz w:val="16"/>
          <w:szCs w:val="20"/>
          <w:lang w:eastAsia="en-US"/>
        </w:rPr>
        <w:t>:</w:t>
      </w:r>
      <w:r>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 xml:space="preserve">Gli incarichi amministrativi di vertice nelle amministrazioni statali, regionali e locali e gli </w:t>
      </w:r>
      <w:r w:rsidR="00461694" w:rsidRPr="00461694">
        <w:rPr>
          <w:rFonts w:ascii="Titillium" w:eastAsiaTheme="minorHAnsi" w:hAnsi="Titillium" w:cs="Titillium Web"/>
          <w:b/>
          <w:bCs/>
          <w:i/>
          <w:sz w:val="16"/>
          <w:szCs w:val="20"/>
          <w:lang w:eastAsia="en-US"/>
        </w:rPr>
        <w:t>incarichi di amministratore di ente pubblico di livello nazionale, regionale e locale</w:t>
      </w:r>
      <w:r w:rsidR="00461694" w:rsidRPr="00461694">
        <w:rPr>
          <w:rFonts w:ascii="Titillium" w:eastAsiaTheme="minorHAnsi" w:hAnsi="Titillium" w:cs="Titillium Web"/>
          <w:i/>
          <w:sz w:val="16"/>
          <w:szCs w:val="20"/>
          <w:lang w:eastAsia="en-US"/>
        </w:rPr>
        <w:t>, sono incompatibili con la carica di Presidente del Consiglio dei ministri, Ministro, Vice</w:t>
      </w:r>
      <w:r w:rsidR="00461694">
        <w:rPr>
          <w:rFonts w:ascii="Titillium" w:eastAsiaTheme="minorHAnsi" w:hAnsi="Titillium" w:cs="Titillium Web"/>
          <w:i/>
          <w:sz w:val="16"/>
          <w:szCs w:val="20"/>
          <w:lang w:eastAsia="en-US"/>
        </w:rPr>
        <w:t xml:space="preserve"> </w:t>
      </w:r>
      <w:r w:rsidR="00461694" w:rsidRPr="00461694">
        <w:rPr>
          <w:rFonts w:ascii="Titillium" w:eastAsiaTheme="minorHAnsi" w:hAnsi="Titillium" w:cs="Titillium Web"/>
          <w:i/>
          <w:sz w:val="16"/>
          <w:szCs w:val="20"/>
          <w:lang w:eastAsia="en-US"/>
        </w:rPr>
        <w:t>Ministro, sottosegretario di Stato e commissario straordinario del Governo di cui all'articolo 11 della legge 23 agosto 1988, n. 400, o di parlamentare</w:t>
      </w:r>
      <w:r w:rsidR="00461694">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w:t>
      </w:r>
    </w:p>
    <w:p w:rsidR="00501D92" w:rsidRDefault="00501D92" w:rsidP="002D61F7">
      <w:pPr>
        <w:pStyle w:val="Testonotaapidipagina"/>
        <w:jc w:val="both"/>
      </w:pPr>
    </w:p>
  </w:footnote>
  <w:footnote w:id="5">
    <w:p w:rsidR="00461694" w:rsidRPr="00461694" w:rsidRDefault="00501D92" w:rsidP="00461694">
      <w:pPr>
        <w:pStyle w:val="Testonotaapidipagina"/>
        <w:ind w:left="284"/>
        <w:jc w:val="both"/>
        <w:rPr>
          <w:i/>
          <w:sz w:val="16"/>
        </w:rPr>
      </w:pPr>
      <w:r>
        <w:rPr>
          <w:rStyle w:val="Rimandonotaapidipagina"/>
        </w:rPr>
        <w:footnoteRef/>
      </w:r>
      <w:r>
        <w:rPr>
          <w:b/>
          <w:sz w:val="16"/>
        </w:rPr>
        <w:t xml:space="preserve"> </w:t>
      </w:r>
      <w:r w:rsidRPr="000C4C80">
        <w:rPr>
          <w:b/>
          <w:sz w:val="16"/>
        </w:rPr>
        <w:t xml:space="preserve">Art. </w:t>
      </w:r>
      <w:r>
        <w:rPr>
          <w:b/>
          <w:sz w:val="16"/>
        </w:rPr>
        <w:t>1</w:t>
      </w:r>
      <w:r w:rsidR="00461694">
        <w:rPr>
          <w:b/>
          <w:sz w:val="16"/>
        </w:rPr>
        <w:t>1</w:t>
      </w:r>
      <w:r>
        <w:rPr>
          <w:b/>
          <w:sz w:val="16"/>
        </w:rPr>
        <w:t>, comma 2</w:t>
      </w:r>
      <w:r w:rsidR="00461694">
        <w:rPr>
          <w:b/>
          <w:sz w:val="16"/>
        </w:rPr>
        <w:t>:</w:t>
      </w:r>
      <w:r w:rsidR="0075022F" w:rsidRPr="0075022F">
        <w:rPr>
          <w:i/>
          <w:iCs/>
        </w:rPr>
        <w:t>“</w:t>
      </w:r>
      <w:r w:rsidR="00461694" w:rsidRPr="00461694">
        <w:rPr>
          <w:i/>
          <w:sz w:val="16"/>
        </w:rPr>
        <w:t xml:space="preserve">Gli incarichi amministrativi di vertice nelle amministrazioni regionali e gli incarichi di </w:t>
      </w:r>
      <w:r w:rsidR="00461694" w:rsidRPr="00461694">
        <w:rPr>
          <w:b/>
          <w:bCs/>
          <w:i/>
          <w:sz w:val="16"/>
        </w:rPr>
        <w:t>amministratore di ente pubblico di livello regionale</w:t>
      </w:r>
      <w:r w:rsidR="00461694" w:rsidRPr="00461694">
        <w:rPr>
          <w:i/>
          <w:sz w:val="16"/>
        </w:rPr>
        <w:t xml:space="preserve"> sono incompatibili:</w:t>
      </w:r>
      <w:r w:rsidR="00461694">
        <w:rPr>
          <w:i/>
          <w:sz w:val="16"/>
        </w:rPr>
        <w:t xml:space="preserve"> </w:t>
      </w:r>
      <w:r w:rsidR="00461694" w:rsidRPr="00461694">
        <w:rPr>
          <w:i/>
          <w:sz w:val="16"/>
        </w:rPr>
        <w:t>a) con la carica di componente della giunta o del consiglio della regione che ha conferito l'incarico;</w:t>
      </w:r>
      <w:r w:rsidR="00461694" w:rsidRPr="00461694">
        <w:rPr>
          <w:i/>
          <w:sz w:val="16"/>
        </w:rPr>
        <w:br/>
        <w:t>b) con la carica di componente della giunta o del consiglio di una provincia, di un comune con popolazione superiore ai 15.000 abitanti o di una forma associativa tra comuni avente la medesima popolazione della medesima regione;</w:t>
      </w:r>
      <w:r w:rsidR="00461694">
        <w:rPr>
          <w:i/>
          <w:sz w:val="16"/>
        </w:rPr>
        <w:t xml:space="preserve"> </w:t>
      </w:r>
      <w:r w:rsidR="00461694" w:rsidRPr="00461694">
        <w:rPr>
          <w:i/>
          <w:sz w:val="16"/>
        </w:rPr>
        <w:t>c) con la carica di presidente e amministratore delegato di un ente di diritto privato in controllo pubblico da parte della regione</w:t>
      </w:r>
      <w:r w:rsidR="00461694">
        <w:rPr>
          <w:i/>
          <w:sz w:val="16"/>
        </w:rPr>
        <w:t>”</w:t>
      </w:r>
      <w:r w:rsidR="00461694" w:rsidRPr="00461694">
        <w:rPr>
          <w:i/>
          <w:sz w:val="16"/>
        </w:rPr>
        <w:t>.</w:t>
      </w:r>
    </w:p>
    <w:p w:rsidR="00501D92" w:rsidRDefault="00501D92" w:rsidP="002D61F7">
      <w:pPr>
        <w:pStyle w:val="Testonotaapidipagina"/>
        <w:ind w:left="284"/>
        <w:jc w:val="both"/>
        <w:rPr>
          <w:i/>
          <w:sz w:val="16"/>
        </w:rPr>
      </w:pPr>
    </w:p>
    <w:p w:rsidR="00501D92" w:rsidRPr="008E435F" w:rsidRDefault="00501D92" w:rsidP="002D61F7">
      <w:pPr>
        <w:pStyle w:val="Testonotaapidipagina"/>
        <w:ind w:left="284"/>
        <w:jc w:val="both"/>
        <w:rPr>
          <w:sz w:val="14"/>
          <w:szCs w:val="14"/>
        </w:rPr>
      </w:pPr>
    </w:p>
  </w:footnote>
  <w:footnote w:id="6">
    <w:p w:rsidR="00461694" w:rsidRPr="00461694" w:rsidRDefault="00501D92" w:rsidP="00461694">
      <w:pPr>
        <w:pStyle w:val="NormaleWeb"/>
        <w:spacing w:before="0" w:beforeAutospacing="0" w:after="0" w:afterAutospacing="0"/>
        <w:ind w:left="284" w:right="142"/>
        <w:jc w:val="both"/>
        <w:rPr>
          <w:rFonts w:ascii="Titillium" w:eastAsiaTheme="minorHAnsi" w:hAnsi="Titillium" w:cs="Titillium Web"/>
          <w:i/>
          <w:sz w:val="16"/>
          <w:szCs w:val="20"/>
          <w:lang w:eastAsia="en-US"/>
        </w:rPr>
      </w:pPr>
      <w:r w:rsidRPr="0075022F">
        <w:rPr>
          <w:rStyle w:val="Rimandonotaapidipagina"/>
          <w:rFonts w:ascii="Titillium" w:hAnsi="Titillium"/>
          <w:sz w:val="20"/>
          <w:szCs w:val="20"/>
        </w:rPr>
        <w:footnoteRef/>
      </w:r>
      <w: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1</w:t>
      </w:r>
      <w:r w:rsidR="00461694">
        <w:rPr>
          <w:rFonts w:ascii="Titillium" w:eastAsiaTheme="minorHAnsi" w:hAnsi="Titillium" w:cs="Titillium Web"/>
          <w:b/>
          <w:sz w:val="16"/>
          <w:szCs w:val="20"/>
          <w:lang w:eastAsia="en-US"/>
        </w:rPr>
        <w:t>1</w:t>
      </w:r>
      <w:r>
        <w:rPr>
          <w:rFonts w:ascii="Titillium" w:eastAsiaTheme="minorHAnsi" w:hAnsi="Titillium" w:cs="Titillium Web"/>
          <w:b/>
          <w:sz w:val="16"/>
          <w:szCs w:val="20"/>
          <w:lang w:eastAsia="en-US"/>
        </w:rPr>
        <w:t>, comma</w:t>
      </w:r>
      <w:r w:rsidRPr="00501D92">
        <w:rPr>
          <w:rFonts w:ascii="Titillium" w:eastAsiaTheme="minorHAnsi" w:hAnsi="Titillium" w:cs="Titillium Web"/>
          <w:b/>
          <w:sz w:val="16"/>
          <w:szCs w:val="20"/>
          <w:lang w:eastAsia="en-US"/>
        </w:rPr>
        <w:t xml:space="preserve"> 3</w:t>
      </w:r>
      <w:r w:rsidR="00461694">
        <w:rPr>
          <w:rFonts w:ascii="Titillium" w:eastAsiaTheme="minorHAnsi" w:hAnsi="Titillium" w:cs="Titillium Web"/>
          <w:b/>
          <w:sz w:val="16"/>
          <w:szCs w:val="20"/>
          <w:lang w:eastAsia="en-US"/>
        </w:rPr>
        <w:t>:</w:t>
      </w:r>
      <w:r w:rsidR="00E9079B">
        <w:rPr>
          <w:rFonts w:ascii="Titillium" w:eastAsiaTheme="minorHAnsi" w:hAnsi="Titillium" w:cs="Titillium Web"/>
          <w:b/>
          <w:sz w:val="16"/>
          <w:szCs w:val="20"/>
          <w:lang w:eastAsia="en-US"/>
        </w:rPr>
        <w:t xml:space="preserve"> </w:t>
      </w:r>
      <w:r w:rsidRPr="00337A8F">
        <w:rPr>
          <w:rFonts w:ascii="Titillium" w:eastAsiaTheme="minorHAnsi" w:hAnsi="Titillium" w:cs="Titillium Web"/>
          <w:i/>
          <w:sz w:val="16"/>
          <w:szCs w:val="20"/>
          <w:lang w:eastAsia="en-US"/>
        </w:rPr>
        <w:t>”</w:t>
      </w:r>
      <w:r w:rsidR="00461694" w:rsidRPr="00461694">
        <w:rPr>
          <w:rFonts w:ascii="Titillium" w:eastAsiaTheme="minorHAnsi" w:hAnsi="Titillium" w:cs="Titillium Web"/>
          <w:i/>
          <w:sz w:val="16"/>
          <w:szCs w:val="20"/>
          <w:lang w:eastAsia="en-US"/>
        </w:rPr>
        <w:t xml:space="preserve">Gli incarichi amministrativi di vertice nelle amministrazioni di una provincia, di un comune con popolazione superiore ai 15.000 abitanti o di una forma associativa tra comuni avente la medesima popolazione nonché </w:t>
      </w:r>
      <w:r w:rsidR="00461694" w:rsidRPr="00461694">
        <w:rPr>
          <w:rFonts w:ascii="Titillium" w:eastAsiaTheme="minorHAnsi" w:hAnsi="Titillium" w:cs="Titillium Web"/>
          <w:b/>
          <w:bCs/>
          <w:i/>
          <w:sz w:val="16"/>
          <w:szCs w:val="20"/>
          <w:lang w:eastAsia="en-US"/>
        </w:rPr>
        <w:t>gli incarichi di amministratore di ente pubblico di livello provinciale o comunale</w:t>
      </w:r>
      <w:r w:rsidR="00461694" w:rsidRPr="00461694">
        <w:rPr>
          <w:rFonts w:ascii="Titillium" w:eastAsiaTheme="minorHAnsi" w:hAnsi="Titillium" w:cs="Titillium Web"/>
          <w:i/>
          <w:sz w:val="16"/>
          <w:szCs w:val="20"/>
          <w:lang w:eastAsia="en-US"/>
        </w:rPr>
        <w:t xml:space="preserve"> sono incompatibili:</w:t>
      </w:r>
      <w:r w:rsidR="00461694">
        <w:rPr>
          <w:rFonts w:ascii="Titillium" w:eastAsiaTheme="minorHAnsi" w:hAnsi="Titillium" w:cs="Titillium Web"/>
          <w:i/>
          <w:sz w:val="16"/>
          <w:szCs w:val="20"/>
          <w:lang w:eastAsia="en-US"/>
        </w:rPr>
        <w:t xml:space="preserve"> </w:t>
      </w:r>
      <w:r w:rsidR="00461694" w:rsidRPr="00461694">
        <w:rPr>
          <w:rFonts w:ascii="Titillium" w:hAnsi="Titillium" w:cs="Titillium Web"/>
          <w:i/>
          <w:sz w:val="16"/>
          <w:szCs w:val="20"/>
        </w:rPr>
        <w:t>a) con la carica di componente della giunta o del consiglio della provincia, del comune o della forma associativa tra comuni che ha conferito l'incarico;</w:t>
      </w:r>
      <w:r w:rsidR="00461694">
        <w:rPr>
          <w:rFonts w:ascii="Titillium" w:hAnsi="Titillium" w:cs="Titillium Web"/>
          <w:i/>
          <w:sz w:val="16"/>
          <w:szCs w:val="20"/>
        </w:rPr>
        <w:t xml:space="preserve"> </w:t>
      </w:r>
      <w:r w:rsidR="00461694" w:rsidRPr="00461694">
        <w:rPr>
          <w:rFonts w:ascii="Titillium" w:hAnsi="Titillium" w:cs="Titillium Web"/>
          <w:i/>
          <w:sz w:val="16"/>
          <w:szCs w:val="20"/>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sidR="00461694">
        <w:rPr>
          <w:rFonts w:ascii="Titillium" w:hAnsi="Titillium" w:cs="Titillium Web"/>
          <w:i/>
          <w:sz w:val="16"/>
          <w:szCs w:val="20"/>
        </w:rPr>
        <w:t xml:space="preserve"> </w:t>
      </w:r>
      <w:r w:rsidR="00461694" w:rsidRPr="00461694">
        <w:rPr>
          <w:rFonts w:ascii="Titillium" w:hAnsi="Titillium" w:cs="Titillium Web"/>
          <w:i/>
          <w:sz w:val="16"/>
          <w:szCs w:val="20"/>
        </w:rPr>
        <w:t>c) con la carica di componente di organi di indirizzo negli enti di diritto privato in controllo pubblico da parte della regione, nonché di province, comuni con popolazione superiore ai 15.000 abitanti o di forme associative tra comuni aventi la medesima popolazione abitanti della stessa regione</w:t>
      </w:r>
      <w:r w:rsidR="00461694">
        <w:rPr>
          <w:rFonts w:ascii="Titillium" w:hAnsi="Titillium" w:cs="Titillium Web"/>
          <w:i/>
          <w:sz w:val="16"/>
          <w:szCs w:val="20"/>
        </w:rPr>
        <w:t>”</w:t>
      </w:r>
      <w:r w:rsidR="00461694" w:rsidRPr="00461694">
        <w:rPr>
          <w:rFonts w:ascii="Titillium" w:hAnsi="Titillium" w:cs="Titillium Web"/>
          <w:i/>
          <w:sz w:val="16"/>
          <w:szCs w:val="20"/>
        </w:rPr>
        <w:t>.</w:t>
      </w:r>
    </w:p>
    <w:p w:rsidR="00501D92" w:rsidRPr="008E435F" w:rsidRDefault="00501D92" w:rsidP="002D61F7">
      <w:pPr>
        <w:pStyle w:val="NormaleWeb"/>
        <w:spacing w:before="0" w:beforeAutospacing="0" w:after="0" w:afterAutospacing="0"/>
        <w:ind w:left="284" w:right="142"/>
        <w:jc w:val="both"/>
        <w:rPr>
          <w:rFonts w:ascii="Titillium" w:eastAsiaTheme="minorHAnsi" w:hAnsi="Titillium" w:cs="Titillium Web"/>
          <w:i/>
          <w:sz w:val="8"/>
          <w:szCs w:val="12"/>
          <w:lang w:eastAsia="en-US"/>
        </w:rPr>
      </w:pPr>
    </w:p>
    <w:p w:rsidR="00501D92" w:rsidRPr="008E435F" w:rsidRDefault="00501D92" w:rsidP="007C347D">
      <w:pPr>
        <w:pStyle w:val="Testonotaapidipagina"/>
        <w:ind w:left="0"/>
        <w:jc w:val="both"/>
        <w:rPr>
          <w:sz w:val="14"/>
          <w:szCs w:val="14"/>
        </w:rPr>
      </w:pPr>
    </w:p>
  </w:footnote>
  <w:footnote w:id="7">
    <w:p w:rsidR="008E435F" w:rsidRDefault="008E435F" w:rsidP="008E435F">
      <w:pPr>
        <w:pStyle w:val="Testonotaapidipagina"/>
        <w:ind w:left="284"/>
        <w:rPr>
          <w:rFonts w:eastAsia="Times New Roman"/>
          <w:i/>
          <w:sz w:val="16"/>
          <w:lang w:eastAsia="it-IT"/>
        </w:rPr>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w:t>
      </w:r>
    </w:p>
    <w:p w:rsidR="008E435F" w:rsidRDefault="008E435F" w:rsidP="008E435F">
      <w:pPr>
        <w:pStyle w:val="Testonotaapidipagina"/>
        <w:ind w:left="284"/>
      </w:pPr>
    </w:p>
  </w:footnote>
  <w:footnote w:id="8">
    <w:p w:rsidR="00B504E1" w:rsidRPr="000E3DEA" w:rsidRDefault="00B504E1" w:rsidP="00B504E1">
      <w:pPr>
        <w:pStyle w:val="Testonotaapidipagina"/>
        <w:tabs>
          <w:tab w:val="clear" w:pos="284"/>
        </w:tabs>
        <w:ind w:left="284"/>
        <w:jc w:val="both"/>
        <w:rPr>
          <w:i/>
          <w:sz w:val="16"/>
        </w:rPr>
      </w:pP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2" w:name="12"/>
      <w:r w:rsidRPr="000E3DEA">
        <w:rPr>
          <w:b/>
          <w:sz w:val="16"/>
        </w:rPr>
        <w:t>12</w:t>
      </w:r>
      <w:bookmarkEnd w:id="2"/>
      <w:r>
        <w:rPr>
          <w:b/>
          <w:sz w:val="16"/>
        </w:rPr>
        <w:t>, comma 1</w:t>
      </w:r>
      <w:r w:rsidR="004534B6">
        <w:rPr>
          <w:b/>
          <w:sz w:val="16"/>
        </w:rPr>
        <w:t>:</w:t>
      </w:r>
      <w:r>
        <w:rPr>
          <w:b/>
          <w:sz w:val="16"/>
        </w:rPr>
        <w:t xml:space="preserve"> “</w:t>
      </w:r>
      <w:r w:rsidRPr="000E3DEA">
        <w:rPr>
          <w:i/>
          <w:sz w:val="16"/>
        </w:rPr>
        <w:t xml:space="preserve">Gli incarichi dirigenziali, interni e esterni, nelle pubbliche amministrazioni, </w:t>
      </w:r>
      <w:r w:rsidRPr="007C347D">
        <w:rPr>
          <w:b/>
          <w:bCs/>
          <w:i/>
          <w:sz w:val="16"/>
        </w:rPr>
        <w:t>negli enti pubblici</w:t>
      </w:r>
      <w:r w:rsidRPr="000E3DEA">
        <w:rPr>
          <w:i/>
          <w:sz w:val="16"/>
        </w:rPr>
        <w:t xml:space="preserve"> e </w:t>
      </w:r>
      <w:r w:rsidRPr="007C347D">
        <w:rPr>
          <w:i/>
          <w:sz w:val="16"/>
        </w:rPr>
        <w:t>negli enti di diritto privato in controllo pubblico</w:t>
      </w:r>
      <w:r w:rsidRPr="000E3DEA">
        <w:rPr>
          <w:i/>
          <w:sz w:val="16"/>
        </w:rPr>
        <w:t xml:space="preserve">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E9079B">
        <w:rPr>
          <w:i/>
          <w:sz w:val="16"/>
        </w:rPr>
        <w:t>nello stesso ente di diritto privato in controllo pubblico</w:t>
      </w:r>
      <w:r w:rsidRPr="000E3DEA">
        <w:rPr>
          <w:i/>
          <w:sz w:val="16"/>
        </w:rPr>
        <w:t xml:space="preserve"> che ha conferito l'incar</w:t>
      </w:r>
      <w:r>
        <w:rPr>
          <w:i/>
          <w:sz w:val="16"/>
        </w:rPr>
        <w:t>ico.”;</w:t>
      </w:r>
    </w:p>
    <w:p w:rsidR="00B504E1" w:rsidRDefault="00B504E1" w:rsidP="00B504E1">
      <w:pPr>
        <w:pStyle w:val="Testonotaapidipagina"/>
        <w:jc w:val="both"/>
      </w:pPr>
    </w:p>
  </w:footnote>
  <w:footnote w:id="9">
    <w:p w:rsidR="002D61F7" w:rsidRPr="00337A8F" w:rsidRDefault="002D61F7" w:rsidP="0075022F">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004534B6">
        <w:rPr>
          <w:b/>
          <w:iCs/>
          <w:sz w:val="16"/>
        </w:rPr>
        <w:t>:</w:t>
      </w:r>
      <w:r w:rsidRPr="002D61F7">
        <w:rPr>
          <w:b/>
          <w:i/>
          <w:sz w:val="16"/>
        </w:rPr>
        <w:t xml:space="preserve"> </w:t>
      </w:r>
      <w:r w:rsidRPr="00337A8F">
        <w:rPr>
          <w:i/>
          <w:sz w:val="16"/>
        </w:rPr>
        <w:t xml:space="preserve"> </w:t>
      </w:r>
      <w:r>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negli </w:t>
      </w:r>
      <w:r w:rsidRPr="007C347D">
        <w:rPr>
          <w:bCs/>
          <w:i/>
          <w:sz w:val="16"/>
        </w:rPr>
        <w:t xml:space="preserve">enti di diritto privato in controllo pubblico di 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sidR="00571C64">
        <w:rPr>
          <w:i/>
          <w:sz w:val="16"/>
        </w:rPr>
        <w:t>.</w:t>
      </w:r>
      <w:r w:rsidR="0075022F">
        <w:rPr>
          <w:i/>
          <w:sz w:val="16"/>
        </w:rPr>
        <w:t>”</w:t>
      </w:r>
      <w:r w:rsidR="00571C64">
        <w:rPr>
          <w:i/>
          <w:sz w:val="16"/>
        </w:rPr>
        <w:t>;</w:t>
      </w:r>
    </w:p>
    <w:p w:rsidR="002D61F7" w:rsidRDefault="002D61F7" w:rsidP="0075022F">
      <w:pPr>
        <w:pStyle w:val="Testonotaapidipagina"/>
        <w:ind w:left="284"/>
        <w:jc w:val="both"/>
      </w:pPr>
    </w:p>
  </w:footnote>
  <w:footnote w:id="10">
    <w:p w:rsidR="002D61F7" w:rsidRPr="00337A8F" w:rsidRDefault="002D61F7" w:rsidP="007C347D">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004534B6">
        <w:rPr>
          <w:b/>
          <w:iCs/>
          <w:sz w:val="16"/>
        </w:rPr>
        <w:t>:</w:t>
      </w:r>
      <w:r w:rsidRPr="00337A8F">
        <w:rPr>
          <w:i/>
          <w:sz w:val="16"/>
        </w:rPr>
        <w:t xml:space="preserve"> </w:t>
      </w:r>
      <w:r w:rsidR="0075022F">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negli </w:t>
      </w:r>
      <w:r w:rsidRPr="007C347D">
        <w:rPr>
          <w:bCs/>
          <w:i/>
          <w:sz w:val="16"/>
        </w:rPr>
        <w:t xml:space="preserve">enti di diritto privato in controllo pubblico di livello regionale </w:t>
      </w:r>
      <w:r w:rsidRPr="00337A8F">
        <w:rPr>
          <w:i/>
          <w:sz w:val="16"/>
        </w:rPr>
        <w:t>sono incompatibili:</w:t>
      </w:r>
      <w:r w:rsidR="00571C64">
        <w:rPr>
          <w:i/>
          <w:sz w:val="16"/>
        </w:rPr>
        <w:t xml:space="preserve"> </w:t>
      </w:r>
      <w:r w:rsidRPr="00337A8F">
        <w:rPr>
          <w:i/>
          <w:sz w:val="16"/>
        </w:rPr>
        <w:t>a) con la carica di componente della giunta o del consiglio della regione interessata;</w:t>
      </w:r>
      <w:r w:rsidR="007C347D">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sidR="00571C64">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sidR="0075022F">
        <w:rPr>
          <w:i/>
          <w:sz w:val="16"/>
        </w:rPr>
        <w:t>”</w:t>
      </w:r>
      <w:r w:rsidRPr="00203938">
        <w:rPr>
          <w:i/>
          <w:sz w:val="16"/>
        </w:rPr>
        <w:t>.</w:t>
      </w:r>
    </w:p>
    <w:p w:rsidR="002D61F7" w:rsidRDefault="002D61F7" w:rsidP="0075022F">
      <w:pPr>
        <w:pStyle w:val="Testonotaapidipagina"/>
        <w:ind w:hanging="1417"/>
        <w:jc w:val="both"/>
      </w:pPr>
    </w:p>
  </w:footnote>
  <w:footnote w:id="11">
    <w:p w:rsidR="0075022F" w:rsidRPr="00DC715E" w:rsidRDefault="0075022F" w:rsidP="00DC715E">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004534B6">
        <w:rPr>
          <w:b/>
          <w:iCs/>
          <w:sz w:val="16"/>
        </w:rPr>
        <w:t>:</w:t>
      </w:r>
      <w:r w:rsidRPr="0075022F">
        <w:rPr>
          <w:i/>
          <w:sz w:val="16"/>
        </w:rPr>
        <w:t xml:space="preserve"> </w:t>
      </w:r>
      <w:r>
        <w:rPr>
          <w:i/>
          <w:sz w:val="16"/>
        </w:rPr>
        <w:t>“</w:t>
      </w:r>
      <w:r w:rsidRPr="00337A8F">
        <w:rPr>
          <w:i/>
          <w:sz w:val="16"/>
        </w:rPr>
        <w:t xml:space="preserve">Gli incarichi dirigenziali, interni e esterni, nelle pubbliche amministrazioni, </w:t>
      </w:r>
      <w:r w:rsidRPr="007C347D">
        <w:rPr>
          <w:b/>
          <w:bCs/>
          <w:i/>
          <w:sz w:val="16"/>
        </w:rPr>
        <w:t>negli enti pubblici</w:t>
      </w:r>
      <w:r w:rsidRPr="00337A8F">
        <w:rPr>
          <w:i/>
          <w:sz w:val="16"/>
        </w:rPr>
        <w:t xml:space="preserve"> e </w:t>
      </w:r>
      <w:r w:rsidRPr="00203938">
        <w:rPr>
          <w:i/>
          <w:sz w:val="16"/>
        </w:rPr>
        <w:t xml:space="preserve">negli </w:t>
      </w:r>
      <w:r w:rsidRPr="007C347D">
        <w:rPr>
          <w:i/>
          <w:sz w:val="16"/>
        </w:rPr>
        <w:t xml:space="preserve">enti di diritto privato in controllo pubblico di livello provinciale o comunale </w:t>
      </w:r>
      <w:r w:rsidRPr="00203938">
        <w:rPr>
          <w:i/>
          <w:sz w:val="16"/>
        </w:rPr>
        <w:t>sono incompatibili:</w:t>
      </w:r>
      <w:r w:rsidR="00571C64">
        <w:rPr>
          <w:i/>
          <w:sz w:val="16"/>
        </w:rPr>
        <w:t xml:space="preserve"> </w:t>
      </w:r>
      <w:r w:rsidRPr="00203938">
        <w:rPr>
          <w:i/>
          <w:sz w:val="16"/>
        </w:rPr>
        <w:t>a) con la carica di componente della giunta o del consiglio della regione;</w:t>
      </w:r>
      <w:r w:rsidR="00571C64">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sidR="00571C64">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r w:rsidR="00DC715E">
        <w:rPr>
          <w:i/>
          <w:sz w:val="16"/>
        </w:rPr>
        <w:t>;</w:t>
      </w:r>
    </w:p>
  </w:footnote>
  <w:footnote w:id="12">
    <w:p w:rsidR="00DC715E" w:rsidRDefault="00DC715E" w:rsidP="00DC715E">
      <w:pPr>
        <w:pStyle w:val="Testonotaapidipagina"/>
        <w:ind w:left="0"/>
      </w:pPr>
    </w:p>
    <w:p w:rsidR="00DC715E" w:rsidRDefault="00DC715E" w:rsidP="00DC715E">
      <w:pPr>
        <w:pStyle w:val="Testonotaapidipagina"/>
        <w:ind w:left="284"/>
      </w:pPr>
      <w:r w:rsidRPr="009B4BC1">
        <w:rPr>
          <w:rStyle w:val="Rimandonotaapidipagina"/>
        </w:rPr>
        <w:footnoteRef/>
      </w:r>
      <w:r w:rsidRPr="009B4BC1">
        <w:t xml:space="preserve"> </w:t>
      </w:r>
      <w:bookmarkStart w:id="3" w:name="_Hlk210813766"/>
      <w:bookmarkStart w:id="4" w:name="_Hlk210815328"/>
      <w:r w:rsidR="009B4BC1" w:rsidRPr="009B4BC1">
        <w:rPr>
          <w:bCs/>
          <w:sz w:val="16"/>
        </w:rPr>
        <w:t>A</w:t>
      </w:r>
      <w:r w:rsidRPr="009B4BC1">
        <w:rPr>
          <w:bCs/>
          <w:sz w:val="16"/>
        </w:rPr>
        <w:t xml:space="preserve">i sensi </w:t>
      </w:r>
      <w:r w:rsidRPr="009B4BC1">
        <w:rPr>
          <w:b/>
          <w:sz w:val="16"/>
        </w:rPr>
        <w:t xml:space="preserve">dell’art. 14, </w:t>
      </w:r>
      <w:proofErr w:type="spellStart"/>
      <w:r w:rsidRPr="009B4BC1">
        <w:rPr>
          <w:b/>
          <w:sz w:val="16"/>
        </w:rPr>
        <w:t>co</w:t>
      </w:r>
      <w:proofErr w:type="spellEnd"/>
      <w:r w:rsidRPr="009B4BC1">
        <w:rPr>
          <w:b/>
          <w:sz w:val="16"/>
        </w:rPr>
        <w:t>, 2, del d.lgs. n. 33/2013</w:t>
      </w:r>
      <w:r w:rsidRPr="009B4BC1">
        <w:rPr>
          <w:sz w:val="16"/>
        </w:rPr>
        <w:t>, le pubbliche amministrazioni pubblicano i dati per i tre anni successivi dalla cessazione         del mandato o dell'incarico dei soggetti</w:t>
      </w:r>
      <w:bookmarkEnd w:id="3"/>
      <w:r w:rsidRPr="009B4BC1">
        <w:rPr>
          <w:sz w:val="16"/>
        </w:rPr>
        <w:t>.</w:t>
      </w:r>
      <w:bookmarkEnd w:id="4"/>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171" w:rsidRDefault="0089517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56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9757"/>
      <w:gridCol w:w="1226"/>
    </w:tblGrid>
    <w:tr w:rsidR="008E2D69" w:rsidTr="00D20D97">
      <w:trPr>
        <w:trHeight w:val="288"/>
      </w:trPr>
      <w:tc>
        <w:tcPr>
          <w:tcW w:w="9530" w:type="dxa"/>
        </w:tcPr>
        <w:p w:rsidR="00792F4D" w:rsidRDefault="00792F4D" w:rsidP="00C168AD">
          <w:pPr>
            <w:pStyle w:val="Intestazione"/>
            <w:jc w:val="both"/>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DICHIARAZIONE SULLA INSUSSISTENZA </w:t>
          </w:r>
          <w:proofErr w:type="spellStart"/>
          <w:r>
            <w:rPr>
              <w:rFonts w:asciiTheme="majorHAnsi" w:eastAsiaTheme="majorEastAsia" w:hAnsiTheme="majorHAnsi" w:cstheme="majorBidi"/>
              <w:sz w:val="32"/>
              <w:szCs w:val="32"/>
            </w:rPr>
            <w:t>DI</w:t>
          </w:r>
          <w:proofErr w:type="spellEnd"/>
          <w:r>
            <w:rPr>
              <w:rFonts w:asciiTheme="majorHAnsi" w:eastAsiaTheme="majorEastAsia" w:hAnsiTheme="majorHAnsi" w:cstheme="majorBidi"/>
              <w:sz w:val="32"/>
              <w:szCs w:val="32"/>
            </w:rPr>
            <w:t xml:space="preserve"> CAUSE </w:t>
          </w:r>
          <w:proofErr w:type="spellStart"/>
          <w:r>
            <w:rPr>
              <w:rFonts w:asciiTheme="majorHAnsi" w:eastAsiaTheme="majorEastAsia" w:hAnsiTheme="majorHAnsi" w:cstheme="majorBidi"/>
              <w:sz w:val="32"/>
              <w:szCs w:val="32"/>
            </w:rPr>
            <w:t>DI</w:t>
          </w:r>
          <w:proofErr w:type="spellEnd"/>
          <w:r>
            <w:rPr>
              <w:rFonts w:asciiTheme="majorHAnsi" w:eastAsiaTheme="majorEastAsia" w:hAnsiTheme="majorHAnsi" w:cstheme="majorBidi"/>
              <w:sz w:val="32"/>
              <w:szCs w:val="32"/>
            </w:rPr>
            <w:t xml:space="preserve"> INCOMPATIBILITA’ ex art. 20 d.lgs. n. 39/2013</w:t>
          </w:r>
        </w:p>
        <w:p w:rsidR="00895171" w:rsidRDefault="00895171" w:rsidP="00C168AD">
          <w:pPr>
            <w:pStyle w:val="Intestazione"/>
            <w:jc w:val="both"/>
            <w:rPr>
              <w:rFonts w:asciiTheme="majorHAnsi" w:eastAsiaTheme="majorEastAsia" w:hAnsiTheme="majorHAnsi" w:cstheme="majorBidi"/>
              <w:sz w:val="32"/>
              <w:szCs w:val="32"/>
            </w:rPr>
          </w:pPr>
        </w:p>
        <w:p w:rsidR="00895171" w:rsidRPr="00AD2562" w:rsidRDefault="00895171" w:rsidP="00895171">
          <w:pPr>
            <w:autoSpaceDE w:val="0"/>
            <w:autoSpaceDN w:val="0"/>
            <w:adjustRightInd w:val="0"/>
            <w:spacing w:after="0" w:line="240" w:lineRule="auto"/>
            <w:rPr>
              <w:rFonts w:asciiTheme="majorHAnsi" w:hAnsiTheme="majorHAnsi"/>
              <w:b/>
              <w:bCs/>
            </w:rPr>
          </w:pPr>
          <w:r w:rsidRPr="00AD2562">
            <w:rPr>
              <w:rFonts w:asciiTheme="majorHAnsi" w:hAnsiTheme="majorHAnsi"/>
              <w:b/>
              <w:bCs/>
            </w:rPr>
            <w:t xml:space="preserve">Avviso pubblico </w:t>
          </w:r>
          <w:proofErr w:type="spellStart"/>
          <w:r w:rsidRPr="00AD2562">
            <w:rPr>
              <w:rFonts w:asciiTheme="majorHAnsi" w:hAnsiTheme="majorHAnsi"/>
              <w:b/>
              <w:bCs/>
            </w:rPr>
            <w:t>prot</w:t>
          </w:r>
          <w:proofErr w:type="spellEnd"/>
          <w:r w:rsidRPr="00AD2562">
            <w:rPr>
              <w:rFonts w:asciiTheme="majorHAnsi" w:hAnsiTheme="majorHAnsi"/>
              <w:b/>
              <w:bCs/>
            </w:rPr>
            <w:t>. n. 42370/2026</w:t>
          </w:r>
        </w:p>
        <w:p w:rsidR="00895171" w:rsidRPr="00AD2562" w:rsidRDefault="00895171" w:rsidP="00895171">
          <w:pPr>
            <w:autoSpaceDE w:val="0"/>
            <w:autoSpaceDN w:val="0"/>
            <w:adjustRightInd w:val="0"/>
            <w:spacing w:after="0" w:line="240" w:lineRule="auto"/>
            <w:rPr>
              <w:rFonts w:asciiTheme="majorHAnsi" w:hAnsiTheme="majorHAnsi"/>
              <w:b/>
              <w:bCs/>
            </w:rPr>
          </w:pPr>
          <w:r w:rsidRPr="00AD2562">
            <w:rPr>
              <w:rFonts w:asciiTheme="majorHAnsi" w:hAnsiTheme="majorHAnsi"/>
              <w:b/>
              <w:bCs/>
            </w:rPr>
            <w:t>(Scadenza: entro e non oltre il giorno 30 luglio 2026, ore 13:00)</w:t>
          </w:r>
        </w:p>
        <w:p w:rsidR="00895171" w:rsidRPr="00733F51" w:rsidRDefault="00895171" w:rsidP="00C168AD">
          <w:pPr>
            <w:pStyle w:val="Intestazione"/>
            <w:jc w:val="both"/>
            <w:rPr>
              <w:rFonts w:asciiTheme="majorHAnsi" w:eastAsiaTheme="majorEastAsia" w:hAnsiTheme="majorHAnsi" w:cstheme="majorBidi"/>
              <w:sz w:val="32"/>
              <w:szCs w:val="32"/>
            </w:rPr>
          </w:pPr>
        </w:p>
      </w:tc>
      <w:tc>
        <w:tcPr>
          <w:tcW w:w="1197" w:type="dxa"/>
        </w:tcPr>
        <w:p w:rsidR="008E2D69" w:rsidRDefault="008E2D69" w:rsidP="003C3090">
          <w:pPr>
            <w:pStyle w:val="Intestazione"/>
            <w:rPr>
              <w:rFonts w:asciiTheme="majorHAnsi" w:eastAsiaTheme="majorEastAsia" w:hAnsiTheme="majorHAnsi" w:cstheme="majorBidi"/>
              <w:b/>
              <w:bCs/>
              <w:color w:val="4F81BD" w:themeColor="accent1"/>
              <w:sz w:val="36"/>
              <w:szCs w:val="36"/>
            </w:rPr>
          </w:pPr>
        </w:p>
      </w:tc>
    </w:tr>
  </w:tbl>
  <w:p w:rsidR="008E2D69" w:rsidRDefault="008E2D69" w:rsidP="00D20D97">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171" w:rsidRDefault="0089517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733"/>
    <w:multiLevelType w:val="hybridMultilevel"/>
    <w:tmpl w:val="2D3010CE"/>
    <w:lvl w:ilvl="0" w:tplc="069A9A1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033AD2"/>
    <w:multiLevelType w:val="hybridMultilevel"/>
    <w:tmpl w:val="6708FC3A"/>
    <w:lvl w:ilvl="0" w:tplc="067E897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A0C1E2C"/>
    <w:multiLevelType w:val="hybridMultilevel"/>
    <w:tmpl w:val="80EA0660"/>
    <w:lvl w:ilvl="0" w:tplc="B2AAB8A0">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0ACB4F21"/>
    <w:multiLevelType w:val="hybridMultilevel"/>
    <w:tmpl w:val="BC4EB42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CF1C40"/>
    <w:multiLevelType w:val="hybridMultilevel"/>
    <w:tmpl w:val="2D5C9274"/>
    <w:lvl w:ilvl="0" w:tplc="81949994">
      <w:start w:val="1"/>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A1032D"/>
    <w:multiLevelType w:val="multilevel"/>
    <w:tmpl w:val="0AEC817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nsid w:val="12771B1C"/>
    <w:multiLevelType w:val="hybridMultilevel"/>
    <w:tmpl w:val="C186AA4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130726AE"/>
    <w:multiLevelType w:val="hybridMultilevel"/>
    <w:tmpl w:val="283856C4"/>
    <w:lvl w:ilvl="0" w:tplc="95C8C5D8">
      <w:start w:val="14"/>
      <w:numFmt w:val="bullet"/>
      <w:lvlText w:val="-"/>
      <w:lvlJc w:val="left"/>
      <w:pPr>
        <w:ind w:left="720" w:hanging="360"/>
      </w:pPr>
      <w:rPr>
        <w:rFonts w:ascii="Titillium" w:eastAsiaTheme="minorHAnsi" w:hAnsi="Titillium" w:cs="Titillium Web" w:hint="default"/>
      </w:rPr>
    </w:lvl>
    <w:lvl w:ilvl="1" w:tplc="2814EAA2">
      <w:numFmt w:val="bullet"/>
      <w:lvlText w:val=""/>
      <w:lvlJc w:val="left"/>
      <w:pPr>
        <w:ind w:left="1440" w:hanging="360"/>
      </w:pPr>
      <w:rPr>
        <w:rFonts w:ascii="Symbol" w:eastAsiaTheme="minorHAnsi" w:hAnsi="Symbol" w:cs="Titillium Web"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27872BB3"/>
    <w:multiLevelType w:val="hybridMultilevel"/>
    <w:tmpl w:val="C3A64A2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957352D"/>
    <w:multiLevelType w:val="hybridMultilevel"/>
    <w:tmpl w:val="873A1B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326086"/>
    <w:multiLevelType w:val="hybridMultilevel"/>
    <w:tmpl w:val="954635C2"/>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320EE5"/>
    <w:multiLevelType w:val="hybridMultilevel"/>
    <w:tmpl w:val="3A66E766"/>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E463D78"/>
    <w:multiLevelType w:val="hybridMultilevel"/>
    <w:tmpl w:val="206C263E"/>
    <w:lvl w:ilvl="0" w:tplc="19843C8C">
      <w:start w:val="14"/>
      <w:numFmt w:val="bullet"/>
      <w:lvlText w:val="-"/>
      <w:lvlJc w:val="left"/>
      <w:pPr>
        <w:ind w:left="1080" w:hanging="360"/>
      </w:pPr>
      <w:rPr>
        <w:rFonts w:ascii="Titillium" w:eastAsiaTheme="minorHAnsi" w:hAnsi="Titillium" w:cs="Titillium Web"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nsid w:val="3E730388"/>
    <w:multiLevelType w:val="hybridMultilevel"/>
    <w:tmpl w:val="605C386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05368EF"/>
    <w:multiLevelType w:val="hybridMultilevel"/>
    <w:tmpl w:val="DB84CFD4"/>
    <w:lvl w:ilvl="0" w:tplc="4C7C962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40954BE3"/>
    <w:multiLevelType w:val="multilevel"/>
    <w:tmpl w:val="F522C360"/>
    <w:lvl w:ilvl="0">
      <w:start w:val="2"/>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1080" w:hanging="108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440" w:hanging="144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8">
    <w:nsid w:val="41871B23"/>
    <w:multiLevelType w:val="hybridMultilevel"/>
    <w:tmpl w:val="739C87F8"/>
    <w:lvl w:ilvl="0" w:tplc="F9806AD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20791D"/>
    <w:multiLevelType w:val="hybridMultilevel"/>
    <w:tmpl w:val="EAF41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1E05D8"/>
    <w:multiLevelType w:val="hybridMultilevel"/>
    <w:tmpl w:val="EA962EF6"/>
    <w:lvl w:ilvl="0" w:tplc="04100019">
      <w:start w:val="1"/>
      <w:numFmt w:val="lowerLetter"/>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557A7361"/>
    <w:multiLevelType w:val="hybridMultilevel"/>
    <w:tmpl w:val="C80E40C0"/>
    <w:lvl w:ilvl="0" w:tplc="7430F410">
      <w:start w:val="2"/>
      <w:numFmt w:val="bullet"/>
      <w:lvlText w:val="-"/>
      <w:lvlJc w:val="left"/>
      <w:pPr>
        <w:ind w:left="720" w:hanging="360"/>
      </w:pPr>
      <w:rPr>
        <w:rFonts w:ascii="Titillium" w:eastAsiaTheme="minorHAnsi" w:hAnsi="Titillium" w:cs="Titillium Web"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66B0F8B"/>
    <w:multiLevelType w:val="hybridMultilevel"/>
    <w:tmpl w:val="5C8E3D92"/>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nsid w:val="57E5290D"/>
    <w:multiLevelType w:val="hybridMultilevel"/>
    <w:tmpl w:val="0CAEB7F4"/>
    <w:lvl w:ilvl="0" w:tplc="8B98EC7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9F83528"/>
    <w:multiLevelType w:val="hybridMultilevel"/>
    <w:tmpl w:val="F838FC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C711E6C"/>
    <w:multiLevelType w:val="hybridMultilevel"/>
    <w:tmpl w:val="3010296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CB30973"/>
    <w:multiLevelType w:val="multilevel"/>
    <w:tmpl w:val="87C2A36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nsid w:val="63E80E38"/>
    <w:multiLevelType w:val="hybridMultilevel"/>
    <w:tmpl w:val="1CA06518"/>
    <w:lvl w:ilvl="0" w:tplc="73422A54">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66C43A08"/>
    <w:multiLevelType w:val="hybridMultilevel"/>
    <w:tmpl w:val="544C6A5C"/>
    <w:lvl w:ilvl="0" w:tplc="A4085D0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9">
    <w:nsid w:val="6C5E10F9"/>
    <w:multiLevelType w:val="hybridMultilevel"/>
    <w:tmpl w:val="C024BF22"/>
    <w:lvl w:ilvl="0" w:tplc="04100017">
      <w:start w:val="1"/>
      <w:numFmt w:val="lowerLetter"/>
      <w:lvlText w:val="%1)"/>
      <w:lvlJc w:val="left"/>
      <w:pPr>
        <w:ind w:left="1520" w:hanging="360"/>
      </w:pPr>
    </w:lvl>
    <w:lvl w:ilvl="1" w:tplc="04100019">
      <w:start w:val="1"/>
      <w:numFmt w:val="lowerLetter"/>
      <w:lvlText w:val="%2."/>
      <w:lvlJc w:val="left"/>
      <w:pPr>
        <w:ind w:left="2240" w:hanging="360"/>
      </w:pPr>
    </w:lvl>
    <w:lvl w:ilvl="2" w:tplc="0410001B" w:tentative="1">
      <w:start w:val="1"/>
      <w:numFmt w:val="lowerRoman"/>
      <w:lvlText w:val="%3."/>
      <w:lvlJc w:val="right"/>
      <w:pPr>
        <w:ind w:left="2960" w:hanging="180"/>
      </w:pPr>
    </w:lvl>
    <w:lvl w:ilvl="3" w:tplc="0410000F" w:tentative="1">
      <w:start w:val="1"/>
      <w:numFmt w:val="decimal"/>
      <w:lvlText w:val="%4."/>
      <w:lvlJc w:val="left"/>
      <w:pPr>
        <w:ind w:left="3680" w:hanging="360"/>
      </w:pPr>
    </w:lvl>
    <w:lvl w:ilvl="4" w:tplc="04100019" w:tentative="1">
      <w:start w:val="1"/>
      <w:numFmt w:val="lowerLetter"/>
      <w:lvlText w:val="%5."/>
      <w:lvlJc w:val="left"/>
      <w:pPr>
        <w:ind w:left="4400" w:hanging="360"/>
      </w:pPr>
    </w:lvl>
    <w:lvl w:ilvl="5" w:tplc="0410001B" w:tentative="1">
      <w:start w:val="1"/>
      <w:numFmt w:val="lowerRoman"/>
      <w:lvlText w:val="%6."/>
      <w:lvlJc w:val="right"/>
      <w:pPr>
        <w:ind w:left="5120" w:hanging="180"/>
      </w:pPr>
    </w:lvl>
    <w:lvl w:ilvl="6" w:tplc="0410000F" w:tentative="1">
      <w:start w:val="1"/>
      <w:numFmt w:val="decimal"/>
      <w:lvlText w:val="%7."/>
      <w:lvlJc w:val="left"/>
      <w:pPr>
        <w:ind w:left="5840" w:hanging="360"/>
      </w:pPr>
    </w:lvl>
    <w:lvl w:ilvl="7" w:tplc="04100019" w:tentative="1">
      <w:start w:val="1"/>
      <w:numFmt w:val="lowerLetter"/>
      <w:lvlText w:val="%8."/>
      <w:lvlJc w:val="left"/>
      <w:pPr>
        <w:ind w:left="6560" w:hanging="360"/>
      </w:pPr>
    </w:lvl>
    <w:lvl w:ilvl="8" w:tplc="0410001B" w:tentative="1">
      <w:start w:val="1"/>
      <w:numFmt w:val="lowerRoman"/>
      <w:lvlText w:val="%9."/>
      <w:lvlJc w:val="right"/>
      <w:pPr>
        <w:ind w:left="7280" w:hanging="180"/>
      </w:pPr>
    </w:lvl>
  </w:abstractNum>
  <w:abstractNum w:abstractNumId="30">
    <w:nsid w:val="6EE80CBB"/>
    <w:multiLevelType w:val="hybridMultilevel"/>
    <w:tmpl w:val="5CB4FB68"/>
    <w:lvl w:ilvl="0" w:tplc="0E88E89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59476D"/>
    <w:multiLevelType w:val="hybridMultilevel"/>
    <w:tmpl w:val="4F20E87C"/>
    <w:lvl w:ilvl="0" w:tplc="52226DA2">
      <w:start w:val="2"/>
      <w:numFmt w:val="decimal"/>
      <w:lvlText w:val="%1."/>
      <w:lvlJc w:val="left"/>
      <w:pPr>
        <w:ind w:left="720" w:hanging="36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39C679A"/>
    <w:multiLevelType w:val="hybridMultilevel"/>
    <w:tmpl w:val="373085A6"/>
    <w:lvl w:ilvl="0" w:tplc="56569EC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3CC2BD7"/>
    <w:multiLevelType w:val="hybridMultilevel"/>
    <w:tmpl w:val="8FECDF56"/>
    <w:lvl w:ilvl="0" w:tplc="8A2C43D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nsid w:val="7BE71E5E"/>
    <w:multiLevelType w:val="hybridMultilevel"/>
    <w:tmpl w:val="4C608716"/>
    <w:lvl w:ilvl="0" w:tplc="23A25506">
      <w:start w:val="2"/>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5">
    <w:nsid w:val="7CF80E26"/>
    <w:multiLevelType w:val="hybridMultilevel"/>
    <w:tmpl w:val="C4E4D1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32"/>
  </w:num>
  <w:num w:numId="3">
    <w:abstractNumId w:val="0"/>
  </w:num>
  <w:num w:numId="4">
    <w:abstractNumId w:val="30"/>
  </w:num>
  <w:num w:numId="5">
    <w:abstractNumId w:val="22"/>
  </w:num>
  <w:num w:numId="6">
    <w:abstractNumId w:val="15"/>
  </w:num>
  <w:num w:numId="7">
    <w:abstractNumId w:val="7"/>
  </w:num>
  <w:num w:numId="8">
    <w:abstractNumId w:val="1"/>
  </w:num>
  <w:num w:numId="9">
    <w:abstractNumId w:val="27"/>
  </w:num>
  <w:num w:numId="10">
    <w:abstractNumId w:val="20"/>
  </w:num>
  <w:num w:numId="11">
    <w:abstractNumId w:val="35"/>
  </w:num>
  <w:num w:numId="12">
    <w:abstractNumId w:val="4"/>
  </w:num>
  <w:num w:numId="13">
    <w:abstractNumId w:val="31"/>
  </w:num>
  <w:num w:numId="14">
    <w:abstractNumId w:val="16"/>
  </w:num>
  <w:num w:numId="15">
    <w:abstractNumId w:val="2"/>
  </w:num>
  <w:num w:numId="16">
    <w:abstractNumId w:val="24"/>
  </w:num>
  <w:num w:numId="17">
    <w:abstractNumId w:val="3"/>
  </w:num>
  <w:num w:numId="18">
    <w:abstractNumId w:val="25"/>
  </w:num>
  <w:num w:numId="19">
    <w:abstractNumId w:val="23"/>
  </w:num>
  <w:num w:numId="20">
    <w:abstractNumId w:val="13"/>
  </w:num>
  <w:num w:numId="21">
    <w:abstractNumId w:val="10"/>
  </w:num>
  <w:num w:numId="22">
    <w:abstractNumId w:val="14"/>
  </w:num>
  <w:num w:numId="23">
    <w:abstractNumId w:val="8"/>
  </w:num>
  <w:num w:numId="24">
    <w:abstractNumId w:val="29"/>
  </w:num>
  <w:num w:numId="25">
    <w:abstractNumId w:val="21"/>
  </w:num>
  <w:num w:numId="26">
    <w:abstractNumId w:val="28"/>
  </w:num>
  <w:num w:numId="27">
    <w:abstractNumId w:val="33"/>
  </w:num>
  <w:num w:numId="28">
    <w:abstractNumId w:val="12"/>
  </w:num>
  <w:num w:numId="29">
    <w:abstractNumId w:val="9"/>
  </w:num>
  <w:num w:numId="30">
    <w:abstractNumId w:val="34"/>
  </w:num>
  <w:num w:numId="31">
    <w:abstractNumId w:val="18"/>
  </w:num>
  <w:num w:numId="32">
    <w:abstractNumId w:val="19"/>
  </w:num>
  <w:num w:numId="33">
    <w:abstractNumId w:val="6"/>
  </w:num>
  <w:num w:numId="34">
    <w:abstractNumId w:val="5"/>
  </w:num>
  <w:num w:numId="35">
    <w:abstractNumId w:val="2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hdrShapeDefaults>
    <o:shapedefaults v:ext="edit" spidmax="2058"/>
  </w:hdrShapeDefaults>
  <w:footnotePr>
    <w:footnote w:id="-1"/>
    <w:footnote w:id="0"/>
  </w:footnotePr>
  <w:endnotePr>
    <w:endnote w:id="-1"/>
    <w:endnote w:id="0"/>
  </w:endnotePr>
  <w:compat/>
  <w:rsids>
    <w:rsidRoot w:val="001C6033"/>
    <w:rsid w:val="000159DE"/>
    <w:rsid w:val="00022B39"/>
    <w:rsid w:val="00027472"/>
    <w:rsid w:val="00043483"/>
    <w:rsid w:val="0004658A"/>
    <w:rsid w:val="00047713"/>
    <w:rsid w:val="0005012F"/>
    <w:rsid w:val="00052074"/>
    <w:rsid w:val="00060F2B"/>
    <w:rsid w:val="0006494A"/>
    <w:rsid w:val="0007024C"/>
    <w:rsid w:val="00095A1A"/>
    <w:rsid w:val="000A5B85"/>
    <w:rsid w:val="000A6AED"/>
    <w:rsid w:val="000B29A1"/>
    <w:rsid w:val="000C2022"/>
    <w:rsid w:val="000C41ED"/>
    <w:rsid w:val="000D73C8"/>
    <w:rsid w:val="000E1E88"/>
    <w:rsid w:val="000E3DEA"/>
    <w:rsid w:val="000E5D8E"/>
    <w:rsid w:val="00113CB0"/>
    <w:rsid w:val="0012164E"/>
    <w:rsid w:val="00122E4E"/>
    <w:rsid w:val="00140F5C"/>
    <w:rsid w:val="0015463B"/>
    <w:rsid w:val="00162B5C"/>
    <w:rsid w:val="0016404C"/>
    <w:rsid w:val="00170A70"/>
    <w:rsid w:val="00170C1F"/>
    <w:rsid w:val="00171185"/>
    <w:rsid w:val="001816E3"/>
    <w:rsid w:val="00184463"/>
    <w:rsid w:val="00185821"/>
    <w:rsid w:val="001971C6"/>
    <w:rsid w:val="001A58E6"/>
    <w:rsid w:val="001B023B"/>
    <w:rsid w:val="001B44B5"/>
    <w:rsid w:val="001B6EED"/>
    <w:rsid w:val="001C6033"/>
    <w:rsid w:val="001D524E"/>
    <w:rsid w:val="001D65F9"/>
    <w:rsid w:val="001E5ABB"/>
    <w:rsid w:val="001F57F5"/>
    <w:rsid w:val="001F5CF0"/>
    <w:rsid w:val="002005EF"/>
    <w:rsid w:val="00203938"/>
    <w:rsid w:val="00205FFC"/>
    <w:rsid w:val="002064E6"/>
    <w:rsid w:val="0022655F"/>
    <w:rsid w:val="00232DFF"/>
    <w:rsid w:val="00245690"/>
    <w:rsid w:val="00250E40"/>
    <w:rsid w:val="0025784D"/>
    <w:rsid w:val="002604E5"/>
    <w:rsid w:val="00264AF4"/>
    <w:rsid w:val="00271EAF"/>
    <w:rsid w:val="00277A5B"/>
    <w:rsid w:val="002A43B7"/>
    <w:rsid w:val="002D61F7"/>
    <w:rsid w:val="002E11DD"/>
    <w:rsid w:val="002E1DDD"/>
    <w:rsid w:val="002E2087"/>
    <w:rsid w:val="00302A7D"/>
    <w:rsid w:val="00304857"/>
    <w:rsid w:val="00306431"/>
    <w:rsid w:val="00310EC2"/>
    <w:rsid w:val="00312F99"/>
    <w:rsid w:val="003226EE"/>
    <w:rsid w:val="003250DA"/>
    <w:rsid w:val="00337A8F"/>
    <w:rsid w:val="003440FD"/>
    <w:rsid w:val="0035268D"/>
    <w:rsid w:val="003538B6"/>
    <w:rsid w:val="00364332"/>
    <w:rsid w:val="0037164B"/>
    <w:rsid w:val="00373D77"/>
    <w:rsid w:val="00393019"/>
    <w:rsid w:val="003930B5"/>
    <w:rsid w:val="003944D0"/>
    <w:rsid w:val="0039706F"/>
    <w:rsid w:val="003A0156"/>
    <w:rsid w:val="003A3014"/>
    <w:rsid w:val="003C05C1"/>
    <w:rsid w:val="003C3090"/>
    <w:rsid w:val="003C31FD"/>
    <w:rsid w:val="003E0E95"/>
    <w:rsid w:val="003E1096"/>
    <w:rsid w:val="004026B4"/>
    <w:rsid w:val="004050E0"/>
    <w:rsid w:val="00413E87"/>
    <w:rsid w:val="0043650B"/>
    <w:rsid w:val="0044244F"/>
    <w:rsid w:val="00445E99"/>
    <w:rsid w:val="00451835"/>
    <w:rsid w:val="00451C53"/>
    <w:rsid w:val="004534B6"/>
    <w:rsid w:val="004603BF"/>
    <w:rsid w:val="00461694"/>
    <w:rsid w:val="004669FF"/>
    <w:rsid w:val="00490DB2"/>
    <w:rsid w:val="004A6662"/>
    <w:rsid w:val="004B064F"/>
    <w:rsid w:val="004B76F9"/>
    <w:rsid w:val="004D06E3"/>
    <w:rsid w:val="004D184F"/>
    <w:rsid w:val="004E1C6D"/>
    <w:rsid w:val="004E708C"/>
    <w:rsid w:val="00501D92"/>
    <w:rsid w:val="0050236F"/>
    <w:rsid w:val="005159A8"/>
    <w:rsid w:val="0052056C"/>
    <w:rsid w:val="0054713A"/>
    <w:rsid w:val="00550447"/>
    <w:rsid w:val="005664E8"/>
    <w:rsid w:val="00571C64"/>
    <w:rsid w:val="00595120"/>
    <w:rsid w:val="005A79DA"/>
    <w:rsid w:val="005B5DDF"/>
    <w:rsid w:val="005C0D66"/>
    <w:rsid w:val="005C29E7"/>
    <w:rsid w:val="005D375C"/>
    <w:rsid w:val="005E1936"/>
    <w:rsid w:val="006049D5"/>
    <w:rsid w:val="00612F2F"/>
    <w:rsid w:val="0061727F"/>
    <w:rsid w:val="00640EBD"/>
    <w:rsid w:val="00665E16"/>
    <w:rsid w:val="006816D7"/>
    <w:rsid w:val="00691E8A"/>
    <w:rsid w:val="00696737"/>
    <w:rsid w:val="006A61AA"/>
    <w:rsid w:val="006B3767"/>
    <w:rsid w:val="006C0F11"/>
    <w:rsid w:val="006E1AC5"/>
    <w:rsid w:val="006E69E4"/>
    <w:rsid w:val="00714FCA"/>
    <w:rsid w:val="00717B29"/>
    <w:rsid w:val="00726CDA"/>
    <w:rsid w:val="00733F51"/>
    <w:rsid w:val="007418CA"/>
    <w:rsid w:val="0075022F"/>
    <w:rsid w:val="00751E1F"/>
    <w:rsid w:val="00753CBD"/>
    <w:rsid w:val="00774603"/>
    <w:rsid w:val="0077649D"/>
    <w:rsid w:val="00781931"/>
    <w:rsid w:val="00792F4D"/>
    <w:rsid w:val="007960A7"/>
    <w:rsid w:val="007B3511"/>
    <w:rsid w:val="007B50E1"/>
    <w:rsid w:val="007C15EB"/>
    <w:rsid w:val="007C347D"/>
    <w:rsid w:val="007C4612"/>
    <w:rsid w:val="007D0045"/>
    <w:rsid w:val="007D1D13"/>
    <w:rsid w:val="007F141F"/>
    <w:rsid w:val="00803886"/>
    <w:rsid w:val="00804EB7"/>
    <w:rsid w:val="00813049"/>
    <w:rsid w:val="00814389"/>
    <w:rsid w:val="00823823"/>
    <w:rsid w:val="008355A4"/>
    <w:rsid w:val="00847EA4"/>
    <w:rsid w:val="00850B25"/>
    <w:rsid w:val="00864E26"/>
    <w:rsid w:val="00870991"/>
    <w:rsid w:val="00893CA7"/>
    <w:rsid w:val="00895171"/>
    <w:rsid w:val="008A0341"/>
    <w:rsid w:val="008B0C2C"/>
    <w:rsid w:val="008B77B1"/>
    <w:rsid w:val="008B7DD7"/>
    <w:rsid w:val="008C2862"/>
    <w:rsid w:val="008C6192"/>
    <w:rsid w:val="008D4813"/>
    <w:rsid w:val="008E238B"/>
    <w:rsid w:val="008E2D69"/>
    <w:rsid w:val="008E435F"/>
    <w:rsid w:val="008E7F91"/>
    <w:rsid w:val="008F1B31"/>
    <w:rsid w:val="0090776B"/>
    <w:rsid w:val="00910D3F"/>
    <w:rsid w:val="00924018"/>
    <w:rsid w:val="00940544"/>
    <w:rsid w:val="00940FD4"/>
    <w:rsid w:val="00941053"/>
    <w:rsid w:val="00946B56"/>
    <w:rsid w:val="0095715D"/>
    <w:rsid w:val="009A28F4"/>
    <w:rsid w:val="009B17F2"/>
    <w:rsid w:val="009B4BC1"/>
    <w:rsid w:val="009B6EFC"/>
    <w:rsid w:val="009C7F7A"/>
    <w:rsid w:val="009D56A7"/>
    <w:rsid w:val="009F7E36"/>
    <w:rsid w:val="00A0571E"/>
    <w:rsid w:val="00A078B5"/>
    <w:rsid w:val="00A20C7D"/>
    <w:rsid w:val="00A24412"/>
    <w:rsid w:val="00A36896"/>
    <w:rsid w:val="00A4109D"/>
    <w:rsid w:val="00A43279"/>
    <w:rsid w:val="00A47510"/>
    <w:rsid w:val="00A61285"/>
    <w:rsid w:val="00A76C67"/>
    <w:rsid w:val="00A93037"/>
    <w:rsid w:val="00AC70CE"/>
    <w:rsid w:val="00B04EFB"/>
    <w:rsid w:val="00B164E1"/>
    <w:rsid w:val="00B20FB4"/>
    <w:rsid w:val="00B21289"/>
    <w:rsid w:val="00B23CA0"/>
    <w:rsid w:val="00B24D34"/>
    <w:rsid w:val="00B4300C"/>
    <w:rsid w:val="00B44779"/>
    <w:rsid w:val="00B504E1"/>
    <w:rsid w:val="00B67704"/>
    <w:rsid w:val="00B70A13"/>
    <w:rsid w:val="00B720F8"/>
    <w:rsid w:val="00B74043"/>
    <w:rsid w:val="00B87398"/>
    <w:rsid w:val="00B91ED9"/>
    <w:rsid w:val="00B92EC7"/>
    <w:rsid w:val="00B93CEB"/>
    <w:rsid w:val="00BA343A"/>
    <w:rsid w:val="00BB17EF"/>
    <w:rsid w:val="00BC064B"/>
    <w:rsid w:val="00BC30D8"/>
    <w:rsid w:val="00BC7B6F"/>
    <w:rsid w:val="00BD6D9B"/>
    <w:rsid w:val="00C0653D"/>
    <w:rsid w:val="00C168AD"/>
    <w:rsid w:val="00C2483E"/>
    <w:rsid w:val="00C30093"/>
    <w:rsid w:val="00C43CFE"/>
    <w:rsid w:val="00C447E4"/>
    <w:rsid w:val="00C50247"/>
    <w:rsid w:val="00C541DE"/>
    <w:rsid w:val="00C56EA0"/>
    <w:rsid w:val="00C64E91"/>
    <w:rsid w:val="00C97882"/>
    <w:rsid w:val="00CA394A"/>
    <w:rsid w:val="00CA43F3"/>
    <w:rsid w:val="00CC2DB7"/>
    <w:rsid w:val="00CD124D"/>
    <w:rsid w:val="00CD5B8D"/>
    <w:rsid w:val="00CD653E"/>
    <w:rsid w:val="00CE33F1"/>
    <w:rsid w:val="00CE4F92"/>
    <w:rsid w:val="00D147DF"/>
    <w:rsid w:val="00D15D33"/>
    <w:rsid w:val="00D20BAD"/>
    <w:rsid w:val="00D20D97"/>
    <w:rsid w:val="00D2394A"/>
    <w:rsid w:val="00D3085F"/>
    <w:rsid w:val="00D33823"/>
    <w:rsid w:val="00D427D1"/>
    <w:rsid w:val="00D43F10"/>
    <w:rsid w:val="00D45027"/>
    <w:rsid w:val="00D5038D"/>
    <w:rsid w:val="00D55C0A"/>
    <w:rsid w:val="00D748E0"/>
    <w:rsid w:val="00D90679"/>
    <w:rsid w:val="00D97A61"/>
    <w:rsid w:val="00DA0A94"/>
    <w:rsid w:val="00DB11CD"/>
    <w:rsid w:val="00DB4BD2"/>
    <w:rsid w:val="00DB5F57"/>
    <w:rsid w:val="00DC21E4"/>
    <w:rsid w:val="00DC56E2"/>
    <w:rsid w:val="00DC715E"/>
    <w:rsid w:val="00DD1736"/>
    <w:rsid w:val="00DE36F2"/>
    <w:rsid w:val="00DE582B"/>
    <w:rsid w:val="00DF1859"/>
    <w:rsid w:val="00DF7E35"/>
    <w:rsid w:val="00E01451"/>
    <w:rsid w:val="00E066B1"/>
    <w:rsid w:val="00E133E5"/>
    <w:rsid w:val="00E30C21"/>
    <w:rsid w:val="00E33728"/>
    <w:rsid w:val="00E3661E"/>
    <w:rsid w:val="00E41B99"/>
    <w:rsid w:val="00E67499"/>
    <w:rsid w:val="00E9079B"/>
    <w:rsid w:val="00EA056E"/>
    <w:rsid w:val="00EC4C9D"/>
    <w:rsid w:val="00EE1A7A"/>
    <w:rsid w:val="00EF296A"/>
    <w:rsid w:val="00EF3419"/>
    <w:rsid w:val="00F070D8"/>
    <w:rsid w:val="00F12EEA"/>
    <w:rsid w:val="00F21E74"/>
    <w:rsid w:val="00F30FD3"/>
    <w:rsid w:val="00F3127E"/>
    <w:rsid w:val="00F435D3"/>
    <w:rsid w:val="00F45224"/>
    <w:rsid w:val="00F46AF4"/>
    <w:rsid w:val="00F75317"/>
    <w:rsid w:val="00F87BE1"/>
    <w:rsid w:val="00F950FA"/>
    <w:rsid w:val="00FA6A2B"/>
    <w:rsid w:val="00FB7482"/>
    <w:rsid w:val="00FB7838"/>
    <w:rsid w:val="00FC48B5"/>
    <w:rsid w:val="00FD79B3"/>
    <w:rsid w:val="00FE072E"/>
    <w:rsid w:val="00FE52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603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C60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C6033"/>
    <w:pPr>
      <w:ind w:left="720"/>
      <w:contextualSpacing/>
    </w:pPr>
  </w:style>
  <w:style w:type="paragraph" w:styleId="Testofumetto">
    <w:name w:val="Balloon Text"/>
    <w:basedOn w:val="Normale"/>
    <w:link w:val="TestofumettoCarattere"/>
    <w:uiPriority w:val="99"/>
    <w:semiHidden/>
    <w:unhideWhenUsed/>
    <w:rsid w:val="0094054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544"/>
    <w:rPr>
      <w:rFonts w:ascii="Tahoma" w:hAnsi="Tahoma" w:cs="Tahoma"/>
      <w:sz w:val="16"/>
      <w:szCs w:val="16"/>
    </w:rPr>
  </w:style>
  <w:style w:type="paragraph" w:styleId="Intestazione">
    <w:name w:val="header"/>
    <w:basedOn w:val="Normale"/>
    <w:link w:val="IntestazioneCarattere"/>
    <w:uiPriority w:val="99"/>
    <w:unhideWhenUsed/>
    <w:rsid w:val="001A58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58E6"/>
  </w:style>
  <w:style w:type="paragraph" w:styleId="Pidipagina">
    <w:name w:val="footer"/>
    <w:basedOn w:val="Normale"/>
    <w:link w:val="PidipaginaCarattere"/>
    <w:uiPriority w:val="99"/>
    <w:unhideWhenUsed/>
    <w:rsid w:val="001A58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58E6"/>
  </w:style>
  <w:style w:type="paragraph" w:styleId="Corpodeltesto">
    <w:name w:val="Body Text"/>
    <w:basedOn w:val="Normale"/>
    <w:link w:val="CorpodeltestoCarattere"/>
    <w:semiHidden/>
    <w:rsid w:val="00C56EA0"/>
    <w:pPr>
      <w:autoSpaceDE w:val="0"/>
      <w:autoSpaceDN w:val="0"/>
      <w:spacing w:after="0" w:line="240" w:lineRule="auto"/>
      <w:jc w:val="both"/>
    </w:pPr>
    <w:rPr>
      <w:rFonts w:ascii="Times New Roman" w:eastAsia="Times New Roman" w:hAnsi="Times New Roman" w:cs="Times New Roman"/>
      <w:lang w:eastAsia="it-IT"/>
    </w:rPr>
  </w:style>
  <w:style w:type="character" w:customStyle="1" w:styleId="CorpodeltestoCarattere">
    <w:name w:val="Corpo del testo Carattere"/>
    <w:basedOn w:val="Carpredefinitoparagrafo"/>
    <w:link w:val="Corpodeltesto"/>
    <w:semiHidden/>
    <w:rsid w:val="00C56EA0"/>
    <w:rPr>
      <w:rFonts w:ascii="Times New Roman" w:eastAsia="Times New Roman" w:hAnsi="Times New Roman" w:cs="Times New Roman"/>
      <w:lang w:eastAsia="it-IT"/>
    </w:rPr>
  </w:style>
  <w:style w:type="table" w:customStyle="1" w:styleId="Grigliatabella1">
    <w:name w:val="Griglia tabella1"/>
    <w:basedOn w:val="Tabellanormale"/>
    <w:next w:val="Grigliatabella"/>
    <w:uiPriority w:val="59"/>
    <w:rsid w:val="00D33823"/>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unhideWhenUsed/>
    <w:rsid w:val="0015463B"/>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hAnsi="Titillium" w:cs="Titillium Web"/>
      <w:sz w:val="20"/>
      <w:szCs w:val="20"/>
    </w:rPr>
  </w:style>
  <w:style w:type="character" w:customStyle="1" w:styleId="TestonotaapidipaginaCarattere">
    <w:name w:val="Testo nota a piè di pagina Carattere"/>
    <w:basedOn w:val="Carpredefinitoparagrafo"/>
    <w:link w:val="Testonotaapidipagina"/>
    <w:uiPriority w:val="99"/>
    <w:rsid w:val="0015463B"/>
    <w:rPr>
      <w:rFonts w:ascii="Titillium" w:hAnsi="Titillium" w:cs="Titillium Web"/>
      <w:sz w:val="20"/>
      <w:szCs w:val="20"/>
    </w:rPr>
  </w:style>
  <w:style w:type="character" w:styleId="Rimandonotaapidipagina">
    <w:name w:val="footnote reference"/>
    <w:basedOn w:val="Carpredefinitoparagrafo"/>
    <w:uiPriority w:val="99"/>
    <w:semiHidden/>
    <w:unhideWhenUsed/>
    <w:rsid w:val="0015463B"/>
    <w:rPr>
      <w:vertAlign w:val="superscript"/>
    </w:rPr>
  </w:style>
  <w:style w:type="paragraph" w:styleId="NormaleWeb">
    <w:name w:val="Normal (Web)"/>
    <w:basedOn w:val="Normale"/>
    <w:uiPriority w:val="99"/>
    <w:unhideWhenUsed/>
    <w:rsid w:val="001546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A20C7D"/>
    <w:pPr>
      <w:spacing w:after="0" w:line="240" w:lineRule="auto"/>
    </w:pPr>
  </w:style>
  <w:style w:type="character" w:styleId="Rimandocommento">
    <w:name w:val="annotation reference"/>
    <w:basedOn w:val="Carpredefinitoparagrafo"/>
    <w:uiPriority w:val="99"/>
    <w:semiHidden/>
    <w:unhideWhenUsed/>
    <w:rsid w:val="00A93037"/>
    <w:rPr>
      <w:sz w:val="16"/>
      <w:szCs w:val="16"/>
    </w:rPr>
  </w:style>
  <w:style w:type="paragraph" w:styleId="Testocommento">
    <w:name w:val="annotation text"/>
    <w:basedOn w:val="Normale"/>
    <w:link w:val="TestocommentoCarattere"/>
    <w:uiPriority w:val="99"/>
    <w:unhideWhenUsed/>
    <w:rsid w:val="00A93037"/>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3037"/>
    <w:rPr>
      <w:sz w:val="20"/>
      <w:szCs w:val="20"/>
    </w:rPr>
  </w:style>
  <w:style w:type="paragraph" w:styleId="Soggettocommento">
    <w:name w:val="annotation subject"/>
    <w:basedOn w:val="Testocommento"/>
    <w:next w:val="Testocommento"/>
    <w:link w:val="SoggettocommentoCarattere"/>
    <w:uiPriority w:val="99"/>
    <w:semiHidden/>
    <w:unhideWhenUsed/>
    <w:rsid w:val="00A93037"/>
    <w:rPr>
      <w:b/>
      <w:bCs/>
    </w:rPr>
  </w:style>
  <w:style w:type="character" w:customStyle="1" w:styleId="SoggettocommentoCarattere">
    <w:name w:val="Soggetto commento Carattere"/>
    <w:basedOn w:val="TestocommentoCarattere"/>
    <w:link w:val="Soggettocommento"/>
    <w:uiPriority w:val="99"/>
    <w:semiHidden/>
    <w:rsid w:val="00A93037"/>
    <w:rPr>
      <w:b/>
      <w:bCs/>
      <w:sz w:val="20"/>
      <w:szCs w:val="20"/>
    </w:rPr>
  </w:style>
</w:styles>
</file>

<file path=word/webSettings.xml><?xml version="1.0" encoding="utf-8"?>
<w:webSettings xmlns:r="http://schemas.openxmlformats.org/officeDocument/2006/relationships" xmlns:w="http://schemas.openxmlformats.org/wordprocessingml/2006/main">
  <w:divs>
    <w:div w:id="560210991">
      <w:bodyDiv w:val="1"/>
      <w:marLeft w:val="0"/>
      <w:marRight w:val="0"/>
      <w:marTop w:val="0"/>
      <w:marBottom w:val="0"/>
      <w:divBdr>
        <w:top w:val="none" w:sz="0" w:space="0" w:color="auto"/>
        <w:left w:val="none" w:sz="0" w:space="0" w:color="auto"/>
        <w:bottom w:val="none" w:sz="0" w:space="0" w:color="auto"/>
        <w:right w:val="none" w:sz="0" w:space="0" w:color="auto"/>
      </w:divBdr>
    </w:div>
    <w:div w:id="635992662">
      <w:bodyDiv w:val="1"/>
      <w:marLeft w:val="0"/>
      <w:marRight w:val="0"/>
      <w:marTop w:val="0"/>
      <w:marBottom w:val="0"/>
      <w:divBdr>
        <w:top w:val="none" w:sz="0" w:space="0" w:color="auto"/>
        <w:left w:val="none" w:sz="0" w:space="0" w:color="auto"/>
        <w:bottom w:val="none" w:sz="0" w:space="0" w:color="auto"/>
        <w:right w:val="none" w:sz="0" w:space="0" w:color="auto"/>
      </w:divBdr>
    </w:div>
    <w:div w:id="1291085843">
      <w:bodyDiv w:val="1"/>
      <w:marLeft w:val="0"/>
      <w:marRight w:val="0"/>
      <w:marTop w:val="0"/>
      <w:marBottom w:val="0"/>
      <w:divBdr>
        <w:top w:val="none" w:sz="0" w:space="0" w:color="auto"/>
        <w:left w:val="none" w:sz="0" w:space="0" w:color="auto"/>
        <w:bottom w:val="none" w:sz="0" w:space="0" w:color="auto"/>
        <w:right w:val="none" w:sz="0" w:space="0" w:color="auto"/>
      </w:divBdr>
      <w:divsChild>
        <w:div w:id="113058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573659">
      <w:bodyDiv w:val="1"/>
      <w:marLeft w:val="0"/>
      <w:marRight w:val="0"/>
      <w:marTop w:val="0"/>
      <w:marBottom w:val="0"/>
      <w:divBdr>
        <w:top w:val="none" w:sz="0" w:space="0" w:color="auto"/>
        <w:left w:val="none" w:sz="0" w:space="0" w:color="auto"/>
        <w:bottom w:val="none" w:sz="0" w:space="0" w:color="auto"/>
        <w:right w:val="none" w:sz="0" w:space="0" w:color="auto"/>
      </w:divBdr>
      <w:divsChild>
        <w:div w:id="1682856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39201-F03E-4ED1-8319-84DAAFD86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4</Pages>
  <Words>473</Words>
  <Characters>2700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Personale dipendente dichiarazioni sui conflitti d’interessi</vt:lpstr>
    </vt:vector>
  </TitlesOfParts>
  <Company>Hewlett-Packard Company</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Personale dipendente dichiarazioni sui conflitti d’interessi</dc:title>
  <dc:creator>Berrocal Brigita Lily</dc:creator>
  <cp:lastModifiedBy>Stefania.Fabris</cp:lastModifiedBy>
  <cp:revision>85</cp:revision>
  <cp:lastPrinted>2023-10-19T13:09:00Z</cp:lastPrinted>
  <dcterms:created xsi:type="dcterms:W3CDTF">2023-10-10T09:41:00Z</dcterms:created>
  <dcterms:modified xsi:type="dcterms:W3CDTF">2026-06-24T10:58:00Z</dcterms:modified>
</cp:coreProperties>
</file>